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A2" w:rsidRDefault="00985FA2" w:rsidP="00FC5DDF">
      <w:pPr>
        <w:spacing w:line="560" w:lineRule="exact"/>
        <w:jc w:val="center"/>
        <w:rPr>
          <w:rFonts w:ascii="黑体" w:eastAsia="黑体" w:hAnsi="黑体"/>
          <w:sz w:val="44"/>
          <w:szCs w:val="44"/>
        </w:rPr>
      </w:pPr>
      <w:r>
        <w:rPr>
          <w:rFonts w:ascii="黑体" w:eastAsia="黑体" w:hAnsi="黑体" w:hint="eastAsia"/>
          <w:sz w:val="44"/>
          <w:szCs w:val="44"/>
        </w:rPr>
        <w:t>2017年</w:t>
      </w:r>
      <w:r w:rsidR="00F54A21">
        <w:rPr>
          <w:rFonts w:ascii="黑体" w:eastAsia="黑体" w:hAnsi="黑体"/>
          <w:sz w:val="44"/>
          <w:szCs w:val="44"/>
        </w:rPr>
        <w:t>辽宁省互联网技术支撑中心</w:t>
      </w:r>
    </w:p>
    <w:p w:rsidR="005C2C5E" w:rsidRDefault="00F54A21" w:rsidP="00FC5DDF">
      <w:pPr>
        <w:spacing w:line="560" w:lineRule="exact"/>
        <w:jc w:val="center"/>
        <w:rPr>
          <w:rFonts w:ascii="黑体" w:eastAsia="黑体" w:hAnsi="黑体"/>
          <w:sz w:val="44"/>
          <w:szCs w:val="44"/>
        </w:rPr>
      </w:pPr>
      <w:r>
        <w:rPr>
          <w:rFonts w:ascii="黑体" w:eastAsia="黑体" w:hAnsi="黑体" w:hint="eastAsia"/>
          <w:sz w:val="44"/>
          <w:szCs w:val="44"/>
        </w:rPr>
        <w:t>预算公开</w:t>
      </w:r>
    </w:p>
    <w:p w:rsidR="00643E43" w:rsidRDefault="00643E43" w:rsidP="00FC5DDF">
      <w:pPr>
        <w:spacing w:line="560" w:lineRule="exact"/>
        <w:jc w:val="center"/>
        <w:rPr>
          <w:rFonts w:ascii="黑体" w:eastAsia="黑体" w:hAnsi="黑体"/>
          <w:sz w:val="44"/>
          <w:szCs w:val="44"/>
        </w:rPr>
      </w:pPr>
    </w:p>
    <w:p w:rsidR="00AB19A0" w:rsidRDefault="00643E43" w:rsidP="00FC5DDF">
      <w:pPr>
        <w:spacing w:line="560" w:lineRule="exact"/>
        <w:jc w:val="center"/>
        <w:rPr>
          <w:rFonts w:ascii="黑体" w:eastAsia="黑体" w:hAnsi="黑体"/>
          <w:sz w:val="32"/>
          <w:szCs w:val="32"/>
        </w:rPr>
      </w:pPr>
      <w:r w:rsidRPr="00643E43">
        <w:rPr>
          <w:rFonts w:ascii="黑体" w:eastAsia="黑体" w:hAnsi="黑体"/>
          <w:sz w:val="32"/>
          <w:szCs w:val="32"/>
        </w:rPr>
        <w:t>目录</w:t>
      </w:r>
    </w:p>
    <w:p w:rsidR="00643E43" w:rsidRPr="00447E8C" w:rsidRDefault="00643E43" w:rsidP="00FC5DDF">
      <w:pPr>
        <w:spacing w:line="560" w:lineRule="exact"/>
        <w:rPr>
          <w:rFonts w:ascii="黑体" w:eastAsia="黑体" w:hAnsi="黑体"/>
          <w:sz w:val="32"/>
          <w:szCs w:val="32"/>
        </w:rPr>
      </w:pPr>
      <w:r w:rsidRPr="00447E8C">
        <w:rPr>
          <w:rFonts w:ascii="黑体" w:eastAsia="黑体" w:hAnsi="黑体" w:hint="eastAsia"/>
          <w:sz w:val="32"/>
          <w:szCs w:val="32"/>
        </w:rPr>
        <w:t>第一部分 辽宁省</w:t>
      </w:r>
      <w:r w:rsidR="0046369F" w:rsidRPr="00447E8C">
        <w:rPr>
          <w:rFonts w:ascii="黑体" w:eastAsia="黑体" w:hAnsi="黑体" w:hint="eastAsia"/>
          <w:sz w:val="32"/>
          <w:szCs w:val="32"/>
        </w:rPr>
        <w:t>互联网技术支撑中心</w:t>
      </w:r>
      <w:r w:rsidRPr="00447E8C">
        <w:rPr>
          <w:rFonts w:ascii="黑体" w:eastAsia="黑体" w:hAnsi="黑体" w:hint="eastAsia"/>
          <w:sz w:val="32"/>
          <w:szCs w:val="32"/>
        </w:rPr>
        <w:t>概况</w:t>
      </w:r>
    </w:p>
    <w:p w:rsidR="0046369F" w:rsidRDefault="00643E43" w:rsidP="00FC5DDF">
      <w:pPr>
        <w:spacing w:line="560" w:lineRule="exact"/>
        <w:rPr>
          <w:rFonts w:ascii="仿宋_GB2312" w:eastAsia="仿宋_GB2312" w:hAnsi="黑体"/>
          <w:sz w:val="32"/>
          <w:szCs w:val="32"/>
        </w:rPr>
      </w:pPr>
      <w:r w:rsidRPr="00643E43">
        <w:rPr>
          <w:rFonts w:ascii="仿宋_GB2312" w:eastAsia="仿宋_GB2312" w:hAnsi="黑体" w:hint="eastAsia"/>
          <w:sz w:val="32"/>
          <w:szCs w:val="32"/>
        </w:rPr>
        <w:t>一、主要职责</w:t>
      </w:r>
    </w:p>
    <w:p w:rsidR="00643E43" w:rsidRPr="00643E43" w:rsidRDefault="00643E43" w:rsidP="00FC5DDF">
      <w:pPr>
        <w:spacing w:line="560" w:lineRule="exact"/>
        <w:rPr>
          <w:rFonts w:ascii="仿宋_GB2312" w:eastAsia="仿宋_GB2312" w:hAnsi="黑体"/>
          <w:sz w:val="32"/>
          <w:szCs w:val="32"/>
        </w:rPr>
      </w:pPr>
      <w:r w:rsidRPr="00643E43">
        <w:rPr>
          <w:rFonts w:ascii="仿宋_GB2312" w:eastAsia="仿宋_GB2312" w:hAnsi="黑体" w:hint="eastAsia"/>
          <w:sz w:val="32"/>
          <w:szCs w:val="32"/>
        </w:rPr>
        <w:t>二、机构设置</w:t>
      </w:r>
    </w:p>
    <w:p w:rsidR="00643E43" w:rsidRPr="00447E8C" w:rsidRDefault="00643E43" w:rsidP="00FC5DDF">
      <w:pPr>
        <w:spacing w:line="560" w:lineRule="exact"/>
        <w:rPr>
          <w:rFonts w:ascii="黑体" w:eastAsia="黑体" w:hAnsi="黑体"/>
          <w:sz w:val="32"/>
          <w:szCs w:val="32"/>
        </w:rPr>
      </w:pPr>
      <w:r w:rsidRPr="00447E8C">
        <w:rPr>
          <w:rFonts w:ascii="黑体" w:eastAsia="黑体" w:hAnsi="黑体" w:hint="eastAsia"/>
          <w:sz w:val="32"/>
          <w:szCs w:val="32"/>
        </w:rPr>
        <w:t>第二部分</w:t>
      </w:r>
      <w:r w:rsidRPr="00447E8C">
        <w:rPr>
          <w:rFonts w:ascii="Calibri" w:eastAsia="黑体" w:hAnsi="Calibri" w:cs="Calibri"/>
          <w:sz w:val="32"/>
          <w:szCs w:val="32"/>
        </w:rPr>
        <w:t> </w:t>
      </w:r>
      <w:r w:rsidRPr="00447E8C">
        <w:rPr>
          <w:rFonts w:ascii="黑体" w:eastAsia="黑体" w:hAnsi="黑体" w:hint="eastAsia"/>
          <w:sz w:val="32"/>
          <w:szCs w:val="32"/>
        </w:rPr>
        <w:t>辽宁省</w:t>
      </w:r>
      <w:r w:rsidR="0046369F" w:rsidRPr="00447E8C">
        <w:rPr>
          <w:rFonts w:ascii="黑体" w:eastAsia="黑体" w:hAnsi="黑体" w:hint="eastAsia"/>
          <w:sz w:val="32"/>
          <w:szCs w:val="32"/>
        </w:rPr>
        <w:t>互联网技术支撑中心2017</w:t>
      </w:r>
      <w:r w:rsidRPr="00447E8C">
        <w:rPr>
          <w:rFonts w:ascii="黑体" w:eastAsia="黑体" w:hAnsi="黑体" w:hint="eastAsia"/>
          <w:sz w:val="32"/>
          <w:szCs w:val="32"/>
        </w:rPr>
        <w:t>年部门预算表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一</w:t>
      </w:r>
      <w:r>
        <w:rPr>
          <w:rFonts w:ascii="仿宋_GB2312" w:eastAsia="仿宋_GB2312" w:hAnsi="黑体" w:hint="eastAsia"/>
          <w:sz w:val="32"/>
          <w:szCs w:val="32"/>
        </w:rPr>
        <w:t>、2</w:t>
      </w:r>
      <w:r>
        <w:rPr>
          <w:rFonts w:ascii="仿宋_GB2312" w:eastAsia="仿宋_GB2312" w:hAnsi="黑体"/>
          <w:sz w:val="32"/>
          <w:szCs w:val="32"/>
        </w:rPr>
        <w:t>017年辽宁省互联网技术支撑中心收支预算批复总表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二</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收入预算批复总表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三</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支出预算批复总表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四</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按功能科目批复总表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五</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一般公共预算支出</w:t>
      </w:r>
      <w:r>
        <w:rPr>
          <w:rFonts w:ascii="仿宋_GB2312" w:eastAsia="仿宋_GB2312" w:hAnsi="黑体" w:hint="eastAsia"/>
          <w:sz w:val="32"/>
          <w:szCs w:val="32"/>
        </w:rPr>
        <w:t>批复表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六</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财政拨款收入安排支出批复表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七</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中央提前告知转移支付资金安排支出批复表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八</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纳入预算管理的行政事业性收费等非税收入安排支出批复表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九</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纳入政府性基金预算管理收入安排支出批复表</w:t>
      </w:r>
    </w:p>
    <w:p w:rsidR="0046369F" w:rsidRDefault="0046369F" w:rsidP="00FC5DDF">
      <w:pPr>
        <w:spacing w:line="560" w:lineRule="exact"/>
        <w:rPr>
          <w:rFonts w:ascii="仿宋_GB2312" w:eastAsia="仿宋_GB2312" w:hAnsi="黑体"/>
          <w:sz w:val="32"/>
          <w:szCs w:val="32"/>
        </w:rPr>
      </w:pPr>
      <w:r>
        <w:rPr>
          <w:rFonts w:ascii="仿宋_GB2312" w:eastAsia="仿宋_GB2312" w:hAnsi="黑体"/>
          <w:sz w:val="32"/>
          <w:szCs w:val="32"/>
        </w:rPr>
        <w:t>十</w:t>
      </w:r>
      <w:r>
        <w:rPr>
          <w:rFonts w:ascii="仿宋_GB2312" w:eastAsia="仿宋_GB2312" w:hAnsi="黑体" w:hint="eastAsia"/>
          <w:sz w:val="32"/>
          <w:szCs w:val="32"/>
        </w:rPr>
        <w:t>、</w:t>
      </w:r>
      <w:r w:rsidRPr="0046369F">
        <w:rPr>
          <w:rFonts w:ascii="仿宋_GB2312" w:eastAsia="仿宋_GB2312" w:hAnsi="黑体" w:hint="eastAsia"/>
          <w:sz w:val="32"/>
          <w:szCs w:val="32"/>
        </w:rPr>
        <w:t>2</w:t>
      </w:r>
      <w:r w:rsidRPr="0046369F">
        <w:rPr>
          <w:rFonts w:ascii="仿宋_GB2312" w:eastAsia="仿宋_GB2312" w:hAnsi="黑体"/>
          <w:sz w:val="32"/>
          <w:szCs w:val="32"/>
        </w:rPr>
        <w:t>017年辽宁省互联网技术支撑中心</w:t>
      </w:r>
      <w:r>
        <w:rPr>
          <w:rFonts w:ascii="仿宋_GB2312" w:eastAsia="仿宋_GB2312" w:hAnsi="黑体"/>
          <w:sz w:val="32"/>
          <w:szCs w:val="32"/>
        </w:rPr>
        <w:t>纳入专户管理的行政事业性收费等非税收入安排支出批复表</w:t>
      </w:r>
    </w:p>
    <w:p w:rsidR="0046369F" w:rsidRDefault="009F42BB" w:rsidP="00FC5DDF">
      <w:pPr>
        <w:spacing w:line="560" w:lineRule="exact"/>
        <w:rPr>
          <w:rFonts w:ascii="仿宋_GB2312" w:eastAsia="仿宋_GB2312" w:hAnsi="黑体"/>
          <w:kern w:val="0"/>
          <w:sz w:val="32"/>
          <w:szCs w:val="32"/>
        </w:rPr>
      </w:pPr>
      <w:r>
        <w:rPr>
          <w:rFonts w:ascii="仿宋_GB2312" w:eastAsia="仿宋_GB2312" w:hAnsi="黑体"/>
          <w:sz w:val="32"/>
          <w:szCs w:val="32"/>
        </w:rPr>
        <w:lastRenderedPageBreak/>
        <w:t>十一</w:t>
      </w:r>
      <w:r>
        <w:rPr>
          <w:rFonts w:ascii="仿宋_GB2312" w:eastAsia="仿宋_GB2312" w:hAnsi="黑体" w:hint="eastAsia"/>
          <w:sz w:val="32"/>
          <w:szCs w:val="32"/>
        </w:rPr>
        <w:t>、</w:t>
      </w:r>
      <w:r>
        <w:rPr>
          <w:rFonts w:ascii="仿宋_GB2312" w:eastAsia="仿宋_GB2312" w:hAnsi="黑体" w:hint="eastAsia"/>
          <w:kern w:val="0"/>
          <w:sz w:val="32"/>
          <w:szCs w:val="32"/>
        </w:rPr>
        <w:t>2017年辽宁省互联网技术支撑中心一般公共预算基本支出批复表</w:t>
      </w:r>
    </w:p>
    <w:p w:rsidR="009F42BB" w:rsidRDefault="009F42BB" w:rsidP="00FC5DDF">
      <w:pPr>
        <w:spacing w:line="560" w:lineRule="exact"/>
        <w:rPr>
          <w:rFonts w:ascii="仿宋_GB2312" w:eastAsia="仿宋_GB2312" w:hAnsi="黑体"/>
          <w:kern w:val="0"/>
          <w:sz w:val="32"/>
          <w:szCs w:val="32"/>
        </w:rPr>
      </w:pPr>
      <w:r>
        <w:rPr>
          <w:rFonts w:ascii="仿宋_GB2312" w:eastAsia="仿宋_GB2312" w:hAnsi="黑体"/>
          <w:kern w:val="0"/>
          <w:sz w:val="32"/>
          <w:szCs w:val="32"/>
        </w:rPr>
        <w:t>十二</w:t>
      </w:r>
      <w:r>
        <w:rPr>
          <w:rFonts w:ascii="仿宋_GB2312" w:eastAsia="仿宋_GB2312" w:hAnsi="黑体" w:hint="eastAsia"/>
          <w:kern w:val="0"/>
          <w:sz w:val="32"/>
          <w:szCs w:val="32"/>
        </w:rPr>
        <w:t>、2017年辽宁省互联网技术支撑中心一般公共预算“三公”经费支出批复表</w:t>
      </w:r>
    </w:p>
    <w:p w:rsidR="009F42BB" w:rsidRDefault="009F42BB" w:rsidP="00FC5DDF">
      <w:pPr>
        <w:spacing w:line="560" w:lineRule="exact"/>
        <w:rPr>
          <w:rFonts w:ascii="仿宋_GB2312" w:eastAsia="仿宋_GB2312" w:hAnsi="黑体"/>
          <w:kern w:val="0"/>
          <w:sz w:val="32"/>
          <w:szCs w:val="32"/>
        </w:rPr>
      </w:pPr>
      <w:r>
        <w:rPr>
          <w:rFonts w:ascii="仿宋_GB2312" w:eastAsia="仿宋_GB2312" w:hAnsi="黑体"/>
          <w:kern w:val="0"/>
          <w:sz w:val="32"/>
          <w:szCs w:val="32"/>
        </w:rPr>
        <w:t>十三</w:t>
      </w:r>
      <w:r>
        <w:rPr>
          <w:rFonts w:ascii="仿宋_GB2312" w:eastAsia="仿宋_GB2312" w:hAnsi="黑体" w:hint="eastAsia"/>
          <w:kern w:val="0"/>
          <w:sz w:val="32"/>
          <w:szCs w:val="32"/>
        </w:rPr>
        <w:t>、2017年辽宁省互联网技术支撑中心项目等支出明细情况批复表</w:t>
      </w:r>
    </w:p>
    <w:p w:rsidR="009F42BB" w:rsidRDefault="009F42BB" w:rsidP="00FC5DDF">
      <w:pPr>
        <w:spacing w:line="560" w:lineRule="exact"/>
        <w:rPr>
          <w:rFonts w:ascii="仿宋_GB2312" w:eastAsia="仿宋_GB2312" w:hAnsi="黑体"/>
          <w:kern w:val="0"/>
          <w:sz w:val="32"/>
          <w:szCs w:val="32"/>
        </w:rPr>
      </w:pPr>
      <w:r>
        <w:rPr>
          <w:rFonts w:ascii="仿宋_GB2312" w:eastAsia="仿宋_GB2312" w:hAnsi="黑体" w:hint="eastAsia"/>
          <w:sz w:val="32"/>
          <w:szCs w:val="32"/>
        </w:rPr>
        <w:t>十四、</w:t>
      </w:r>
      <w:r>
        <w:rPr>
          <w:rFonts w:ascii="仿宋_GB2312" w:eastAsia="仿宋_GB2312" w:hAnsi="黑体" w:hint="eastAsia"/>
          <w:kern w:val="0"/>
          <w:sz w:val="32"/>
          <w:szCs w:val="32"/>
        </w:rPr>
        <w:t>2017年辽宁省互联网技术支撑中心债务支出明细情况批复表</w:t>
      </w:r>
    </w:p>
    <w:p w:rsidR="006A47DC" w:rsidRDefault="006A47DC" w:rsidP="00FC5DDF">
      <w:pPr>
        <w:spacing w:line="560" w:lineRule="exact"/>
        <w:rPr>
          <w:rFonts w:ascii="仿宋_GB2312" w:eastAsia="仿宋_GB2312" w:hAnsi="黑体"/>
          <w:kern w:val="0"/>
          <w:sz w:val="32"/>
          <w:szCs w:val="32"/>
        </w:rPr>
      </w:pPr>
      <w:r>
        <w:rPr>
          <w:rFonts w:ascii="仿宋_GB2312" w:eastAsia="仿宋_GB2312" w:hAnsi="黑体"/>
          <w:kern w:val="0"/>
          <w:sz w:val="32"/>
          <w:szCs w:val="32"/>
        </w:rPr>
        <w:t>十五</w:t>
      </w:r>
      <w:r>
        <w:rPr>
          <w:rFonts w:ascii="仿宋_GB2312" w:eastAsia="仿宋_GB2312" w:hAnsi="黑体" w:hint="eastAsia"/>
          <w:kern w:val="0"/>
          <w:sz w:val="32"/>
          <w:szCs w:val="32"/>
        </w:rPr>
        <w:t>、</w:t>
      </w:r>
      <w:r w:rsidRPr="006A47DC">
        <w:rPr>
          <w:rFonts w:ascii="仿宋_GB2312" w:eastAsia="仿宋_GB2312" w:hAnsi="黑体" w:hint="eastAsia"/>
          <w:kern w:val="0"/>
          <w:sz w:val="32"/>
          <w:szCs w:val="32"/>
        </w:rPr>
        <w:t>2017年辽宁省互联网技术支撑中心</w:t>
      </w:r>
      <w:r>
        <w:rPr>
          <w:rFonts w:ascii="仿宋_GB2312" w:eastAsia="仿宋_GB2312" w:hAnsi="黑体" w:hint="eastAsia"/>
          <w:kern w:val="0"/>
          <w:sz w:val="32"/>
          <w:szCs w:val="32"/>
        </w:rPr>
        <w:t>政府采购支出明细情况批复表</w:t>
      </w:r>
    </w:p>
    <w:p w:rsidR="006A47DC" w:rsidRPr="009F42BB" w:rsidRDefault="006A47DC" w:rsidP="00FC5DDF">
      <w:pPr>
        <w:spacing w:line="560" w:lineRule="exact"/>
        <w:rPr>
          <w:rFonts w:ascii="仿宋_GB2312" w:eastAsia="仿宋_GB2312" w:hAnsi="黑体"/>
          <w:sz w:val="32"/>
          <w:szCs w:val="32"/>
        </w:rPr>
      </w:pPr>
      <w:r>
        <w:rPr>
          <w:rFonts w:ascii="仿宋_GB2312" w:eastAsia="仿宋_GB2312" w:hAnsi="黑体"/>
          <w:kern w:val="0"/>
          <w:sz w:val="32"/>
          <w:szCs w:val="32"/>
        </w:rPr>
        <w:t>十六</w:t>
      </w:r>
      <w:r>
        <w:rPr>
          <w:rFonts w:ascii="仿宋_GB2312" w:eastAsia="仿宋_GB2312" w:hAnsi="黑体" w:hint="eastAsia"/>
          <w:kern w:val="0"/>
          <w:sz w:val="32"/>
          <w:szCs w:val="32"/>
        </w:rPr>
        <w:t>、</w:t>
      </w:r>
      <w:r w:rsidRPr="006A47DC">
        <w:rPr>
          <w:rFonts w:ascii="仿宋_GB2312" w:eastAsia="仿宋_GB2312" w:hAnsi="黑体" w:hint="eastAsia"/>
          <w:kern w:val="0"/>
          <w:sz w:val="32"/>
          <w:szCs w:val="32"/>
        </w:rPr>
        <w:t>2017年辽宁省互联网技术支撑中心</w:t>
      </w:r>
      <w:r>
        <w:rPr>
          <w:rFonts w:ascii="仿宋_GB2312" w:eastAsia="仿宋_GB2312" w:hAnsi="黑体" w:hint="eastAsia"/>
          <w:kern w:val="0"/>
          <w:sz w:val="32"/>
          <w:szCs w:val="32"/>
        </w:rPr>
        <w:t>政府购买服务支出明细情况批复表</w:t>
      </w:r>
    </w:p>
    <w:p w:rsidR="0046369F" w:rsidRPr="00447E8C" w:rsidRDefault="0046369F" w:rsidP="00FC5DDF">
      <w:pPr>
        <w:spacing w:line="560" w:lineRule="exact"/>
        <w:rPr>
          <w:rFonts w:ascii="黑体" w:eastAsia="黑体" w:hAnsi="黑体"/>
          <w:sz w:val="32"/>
          <w:szCs w:val="32"/>
        </w:rPr>
      </w:pPr>
      <w:r w:rsidRPr="00447E8C">
        <w:rPr>
          <w:rFonts w:ascii="黑体" w:eastAsia="黑体" w:hAnsi="黑体" w:hint="eastAsia"/>
          <w:sz w:val="32"/>
          <w:szCs w:val="32"/>
        </w:rPr>
        <w:t>第三部分</w:t>
      </w:r>
      <w:r w:rsidRPr="00447E8C">
        <w:rPr>
          <w:rFonts w:ascii="Calibri" w:eastAsia="黑体" w:hAnsi="Calibri" w:cs="Calibri"/>
          <w:sz w:val="32"/>
          <w:szCs w:val="32"/>
        </w:rPr>
        <w:t> </w:t>
      </w:r>
      <w:r w:rsidRPr="00447E8C">
        <w:rPr>
          <w:rFonts w:ascii="黑体" w:eastAsia="黑体" w:hAnsi="黑体" w:hint="eastAsia"/>
          <w:sz w:val="32"/>
          <w:szCs w:val="32"/>
        </w:rPr>
        <w:t>辽宁省互联网技术支撑中心2017年部门预算情况说明</w:t>
      </w:r>
    </w:p>
    <w:p w:rsidR="0046369F" w:rsidRPr="00447E8C" w:rsidRDefault="0046369F" w:rsidP="00FC5DDF">
      <w:pPr>
        <w:spacing w:line="560" w:lineRule="exact"/>
        <w:rPr>
          <w:rFonts w:ascii="黑体" w:eastAsia="黑体" w:hAnsi="黑体"/>
          <w:sz w:val="32"/>
          <w:szCs w:val="32"/>
        </w:rPr>
      </w:pPr>
      <w:r w:rsidRPr="00447E8C">
        <w:rPr>
          <w:rFonts w:ascii="黑体" w:eastAsia="黑体" w:hAnsi="黑体" w:hint="eastAsia"/>
          <w:sz w:val="32"/>
          <w:szCs w:val="32"/>
        </w:rPr>
        <w:t>第四部分</w:t>
      </w:r>
      <w:r w:rsidRPr="00447E8C">
        <w:rPr>
          <w:rFonts w:ascii="Calibri" w:eastAsia="黑体" w:hAnsi="Calibri" w:cs="Calibri"/>
          <w:sz w:val="32"/>
          <w:szCs w:val="32"/>
        </w:rPr>
        <w:t> </w:t>
      </w:r>
      <w:r w:rsidRPr="00447E8C">
        <w:rPr>
          <w:rFonts w:ascii="黑体" w:eastAsia="黑体" w:hAnsi="黑体" w:hint="eastAsia"/>
          <w:sz w:val="32"/>
          <w:szCs w:val="32"/>
        </w:rPr>
        <w:t>名词解释</w:t>
      </w:r>
    </w:p>
    <w:p w:rsidR="00643E43" w:rsidRPr="0046369F" w:rsidRDefault="00643E43" w:rsidP="00FC5DDF">
      <w:pPr>
        <w:spacing w:line="560" w:lineRule="exact"/>
        <w:rPr>
          <w:rFonts w:ascii="黑体" w:eastAsia="黑体" w:hAnsi="黑体"/>
          <w:sz w:val="32"/>
          <w:szCs w:val="32"/>
        </w:rPr>
      </w:pPr>
    </w:p>
    <w:p w:rsidR="00AB19A0" w:rsidRPr="00B76938" w:rsidRDefault="00F54A21" w:rsidP="00FC5DDF">
      <w:pPr>
        <w:spacing w:line="560" w:lineRule="exact"/>
        <w:jc w:val="center"/>
        <w:rPr>
          <w:rFonts w:ascii="黑体" w:eastAsia="黑体" w:hAnsi="黑体"/>
          <w:sz w:val="32"/>
          <w:szCs w:val="32"/>
        </w:rPr>
      </w:pPr>
      <w:r w:rsidRPr="00B76938">
        <w:rPr>
          <w:rFonts w:ascii="黑体" w:eastAsia="黑体" w:hAnsi="黑体"/>
          <w:sz w:val="32"/>
          <w:szCs w:val="32"/>
        </w:rPr>
        <w:t>第一部分 辽宁省互联网技术支撑中心概况</w:t>
      </w:r>
    </w:p>
    <w:p w:rsidR="00F54A21" w:rsidRPr="00B76938" w:rsidRDefault="00AF0DBA" w:rsidP="00FC5DDF">
      <w:pPr>
        <w:spacing w:line="560" w:lineRule="exact"/>
        <w:ind w:firstLineChars="200" w:firstLine="643"/>
        <w:rPr>
          <w:rFonts w:ascii="仿宋_GB2312" w:eastAsia="仿宋_GB2312"/>
          <w:b/>
          <w:sz w:val="32"/>
          <w:szCs w:val="32"/>
        </w:rPr>
      </w:pPr>
      <w:r w:rsidRPr="00B76938">
        <w:rPr>
          <w:rFonts w:ascii="仿宋_GB2312" w:eastAsia="仿宋_GB2312" w:hint="eastAsia"/>
          <w:b/>
          <w:sz w:val="32"/>
          <w:szCs w:val="32"/>
        </w:rPr>
        <w:t>一、</w:t>
      </w:r>
      <w:r w:rsidR="00F54A21" w:rsidRPr="00B76938">
        <w:rPr>
          <w:rFonts w:ascii="仿宋_GB2312" w:eastAsia="仿宋_GB2312" w:hint="eastAsia"/>
          <w:b/>
          <w:sz w:val="32"/>
          <w:szCs w:val="32"/>
        </w:rPr>
        <w:t>主要职责</w:t>
      </w:r>
    </w:p>
    <w:p w:rsidR="00985FA2" w:rsidRPr="00B76938" w:rsidRDefault="00985FA2"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负责为我省互联网管理和建设提供相关技术支撑和服务等工作。</w:t>
      </w:r>
    </w:p>
    <w:p w:rsidR="00AF0DBA" w:rsidRPr="00B76938" w:rsidRDefault="00AF0DB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（1）负责沈阳国家级骨干网直联点质量监测系统及互联网网络安全监测系统的建设、运行维护管理、升级扩容工作，并建立健全相关制度。</w:t>
      </w:r>
    </w:p>
    <w:p w:rsidR="00AF0DBA" w:rsidRPr="00B76938" w:rsidRDefault="00AF0DB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（2）负责对骨干网直联点的运行情况进行日常监测、数</w:t>
      </w:r>
      <w:r w:rsidRPr="00B76938">
        <w:rPr>
          <w:rFonts w:ascii="仿宋_GB2312" w:eastAsia="仿宋_GB2312" w:hint="eastAsia"/>
          <w:sz w:val="32"/>
          <w:szCs w:val="32"/>
        </w:rPr>
        <w:lastRenderedPageBreak/>
        <w:t>据统计分析和发布运行质量报告，及时处理网间通信障碍，指导骨干直联点汇聚疏通本省市和周边省份互联网流量，及时组织互联带宽扩容工作。</w:t>
      </w:r>
    </w:p>
    <w:p w:rsidR="00AF0DBA" w:rsidRPr="00B76938" w:rsidRDefault="00AF0DB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（3）负责及时监测本省互联网网络安全情况，及时发现大规模网络攻击事件及病毒爆发事件、做到及时预警、定位、分析、处理，确保我省互联网网络安全稳定运行，定期发布互联网病毒监测报告。</w:t>
      </w:r>
    </w:p>
    <w:p w:rsidR="00AF0DBA" w:rsidRPr="00B76938" w:rsidRDefault="00AF0DB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（4）为我省政府部门网站提供网络安全监测、检测、应急保障等服务。</w:t>
      </w:r>
    </w:p>
    <w:p w:rsidR="00CC3E62" w:rsidRDefault="00AF0DB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（5）提供网站建设、网站接入、转移DDOS攻击流量等服务。</w:t>
      </w:r>
    </w:p>
    <w:p w:rsidR="00AF218C" w:rsidRDefault="00AF218C" w:rsidP="00FC5DDF">
      <w:pPr>
        <w:spacing w:line="560" w:lineRule="exact"/>
        <w:ind w:firstLineChars="200" w:firstLine="643"/>
        <w:rPr>
          <w:rFonts w:ascii="仿宋_GB2312" w:eastAsia="仿宋_GB2312"/>
          <w:b/>
          <w:sz w:val="32"/>
          <w:szCs w:val="32"/>
        </w:rPr>
      </w:pPr>
      <w:r w:rsidRPr="00AF218C">
        <w:rPr>
          <w:rFonts w:ascii="仿宋_GB2312" w:eastAsia="仿宋_GB2312"/>
          <w:b/>
          <w:sz w:val="32"/>
          <w:szCs w:val="32"/>
        </w:rPr>
        <w:t>二</w:t>
      </w:r>
      <w:r w:rsidRPr="00AF218C">
        <w:rPr>
          <w:rFonts w:ascii="仿宋_GB2312" w:eastAsia="仿宋_GB2312" w:hint="eastAsia"/>
          <w:b/>
          <w:sz w:val="32"/>
          <w:szCs w:val="32"/>
        </w:rPr>
        <w:t>、</w:t>
      </w:r>
      <w:r w:rsidRPr="00AF218C">
        <w:rPr>
          <w:rFonts w:ascii="仿宋_GB2312" w:eastAsia="仿宋_GB2312"/>
          <w:b/>
          <w:sz w:val="32"/>
          <w:szCs w:val="32"/>
        </w:rPr>
        <w:t>机构设置</w:t>
      </w:r>
    </w:p>
    <w:p w:rsidR="00AF218C" w:rsidRPr="00AF218C" w:rsidRDefault="00AF218C" w:rsidP="00FC5DDF">
      <w:pPr>
        <w:spacing w:line="560" w:lineRule="exact"/>
        <w:ind w:firstLineChars="200" w:firstLine="640"/>
        <w:rPr>
          <w:rFonts w:ascii="仿宋_GB2312" w:eastAsia="仿宋_GB2312"/>
          <w:sz w:val="32"/>
          <w:szCs w:val="32"/>
        </w:rPr>
      </w:pPr>
      <w:r w:rsidRPr="00AF218C">
        <w:rPr>
          <w:rFonts w:ascii="仿宋_GB2312" w:eastAsia="仿宋_GB2312" w:hint="eastAsia"/>
          <w:sz w:val="32"/>
          <w:szCs w:val="32"/>
        </w:rPr>
        <w:t>辽宁省互联网技术支撑</w:t>
      </w:r>
      <w:r>
        <w:rPr>
          <w:rFonts w:ascii="仿宋_GB2312" w:eastAsia="仿宋_GB2312" w:hint="eastAsia"/>
          <w:sz w:val="32"/>
          <w:szCs w:val="32"/>
        </w:rPr>
        <w:t>中心为</w:t>
      </w:r>
      <w:r w:rsidR="004D10A4">
        <w:rPr>
          <w:rFonts w:ascii="仿宋_GB2312" w:eastAsia="仿宋_GB2312" w:hint="eastAsia"/>
          <w:sz w:val="32"/>
          <w:szCs w:val="32"/>
        </w:rPr>
        <w:t>财政全额拨款事业单位，一级预算单位</w:t>
      </w:r>
      <w:r>
        <w:rPr>
          <w:rFonts w:ascii="仿宋_GB2312" w:eastAsia="仿宋_GB2312" w:hint="eastAsia"/>
          <w:sz w:val="32"/>
          <w:szCs w:val="32"/>
        </w:rPr>
        <w:t>，</w:t>
      </w:r>
      <w:r w:rsidR="004D10A4">
        <w:rPr>
          <w:rFonts w:ascii="仿宋_GB2312" w:eastAsia="仿宋_GB2312" w:hint="eastAsia"/>
          <w:sz w:val="32"/>
          <w:szCs w:val="32"/>
        </w:rPr>
        <w:t>无下属单位。</w:t>
      </w:r>
      <w:r>
        <w:rPr>
          <w:rFonts w:ascii="仿宋_GB2312" w:eastAsia="仿宋_GB2312" w:hint="eastAsia"/>
          <w:sz w:val="32"/>
          <w:szCs w:val="32"/>
        </w:rPr>
        <w:t>内设办公室、网络信息保障部、建设运行维护部3个处室。</w:t>
      </w:r>
    </w:p>
    <w:p w:rsidR="00643E43" w:rsidRDefault="00AF0DBA" w:rsidP="00FC5DDF">
      <w:pPr>
        <w:spacing w:line="560" w:lineRule="exact"/>
        <w:jc w:val="center"/>
        <w:rPr>
          <w:rFonts w:ascii="黑体" w:eastAsia="黑体" w:hAnsi="黑体"/>
          <w:sz w:val="32"/>
          <w:szCs w:val="32"/>
        </w:rPr>
      </w:pPr>
      <w:r w:rsidRPr="00B76938">
        <w:rPr>
          <w:rFonts w:ascii="黑体" w:eastAsia="黑体" w:hAnsi="黑体" w:hint="eastAsia"/>
          <w:sz w:val="32"/>
          <w:szCs w:val="32"/>
        </w:rPr>
        <w:t xml:space="preserve">第二部分 </w:t>
      </w:r>
      <w:r w:rsidR="005B228D" w:rsidRPr="00B76938">
        <w:rPr>
          <w:rFonts w:ascii="黑体" w:eastAsia="黑体" w:hAnsi="黑体" w:hint="eastAsia"/>
          <w:sz w:val="32"/>
          <w:szCs w:val="32"/>
        </w:rPr>
        <w:t>辽宁省互联网技术支撑中心</w:t>
      </w:r>
      <w:r w:rsidR="00AB19A0" w:rsidRPr="00B76938">
        <w:rPr>
          <w:rFonts w:ascii="黑体" w:eastAsia="黑体" w:hAnsi="黑体" w:hint="eastAsia"/>
          <w:sz w:val="32"/>
          <w:szCs w:val="32"/>
        </w:rPr>
        <w:t>2017</w:t>
      </w:r>
      <w:r w:rsidR="00643E43" w:rsidRPr="00B76938">
        <w:rPr>
          <w:rFonts w:ascii="黑体" w:eastAsia="黑体" w:hAnsi="黑体" w:hint="eastAsia"/>
          <w:sz w:val="32"/>
          <w:szCs w:val="32"/>
        </w:rPr>
        <w:t>年部门预算表</w:t>
      </w:r>
    </w:p>
    <w:p w:rsidR="00A0189B" w:rsidRPr="00B76938" w:rsidRDefault="00183952" w:rsidP="00FC5DDF">
      <w:pPr>
        <w:spacing w:line="560" w:lineRule="exact"/>
        <w:jc w:val="center"/>
        <w:rPr>
          <w:rFonts w:ascii="黑体" w:eastAsia="黑体" w:hAnsi="黑体" w:hint="eastAsia"/>
          <w:sz w:val="32"/>
          <w:szCs w:val="32"/>
        </w:rPr>
      </w:pPr>
      <w:r>
        <w:rPr>
          <w:rFonts w:ascii="黑体" w:eastAsia="黑体" w:hAnsi="黑体"/>
          <w:noProof/>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6.9pt;margin-top:2.9pt;width:76.45pt;height:55.55pt;z-index:251659264;mso-position-horizontal-relative:text;mso-position-vertical-relative:text">
            <v:imagedata r:id="rId7" o:title=""/>
          </v:shape>
          <o:OLEObject Type="Embed" ProgID="Excel.Sheet.12" ShapeID="_x0000_s1028" DrawAspect="Icon" ObjectID="_1549282024" r:id="rId8"/>
        </w:object>
      </w:r>
    </w:p>
    <w:p w:rsidR="00643E43" w:rsidRPr="00FC5DDF" w:rsidRDefault="00FC5DDF" w:rsidP="00FC5DDF">
      <w:pPr>
        <w:spacing w:line="560" w:lineRule="exact"/>
        <w:ind w:firstLineChars="200" w:firstLine="640"/>
        <w:rPr>
          <w:rFonts w:ascii="仿宋_GB2312" w:eastAsia="仿宋_GB2312"/>
          <w:sz w:val="32"/>
          <w:szCs w:val="32"/>
        </w:rPr>
      </w:pPr>
      <w:r w:rsidRPr="00FC5DDF">
        <w:rPr>
          <w:rFonts w:ascii="仿宋_GB2312" w:eastAsia="仿宋_GB2312" w:hint="eastAsia"/>
          <w:sz w:val="32"/>
          <w:szCs w:val="32"/>
        </w:rPr>
        <w:t>详见附表：</w:t>
      </w:r>
      <w:r w:rsidR="002A5E1B" w:rsidRPr="00FC5DDF">
        <w:rPr>
          <w:rFonts w:ascii="仿宋_GB2312" w:eastAsia="仿宋_GB2312" w:hint="eastAsia"/>
          <w:sz w:val="32"/>
          <w:szCs w:val="32"/>
        </w:rPr>
        <w:t xml:space="preserve"> </w:t>
      </w:r>
    </w:p>
    <w:p w:rsidR="00AB19A0" w:rsidRPr="00B76938" w:rsidRDefault="00AF0DBA" w:rsidP="00FC5DDF">
      <w:pPr>
        <w:spacing w:line="560" w:lineRule="exact"/>
        <w:jc w:val="center"/>
        <w:rPr>
          <w:rFonts w:ascii="黑体" w:eastAsia="黑体" w:hAnsi="黑体"/>
          <w:sz w:val="32"/>
          <w:szCs w:val="32"/>
        </w:rPr>
      </w:pPr>
      <w:r w:rsidRPr="00B76938">
        <w:rPr>
          <w:rFonts w:ascii="黑体" w:eastAsia="黑体" w:hAnsi="黑体" w:hint="eastAsia"/>
          <w:sz w:val="32"/>
          <w:szCs w:val="32"/>
        </w:rPr>
        <w:t xml:space="preserve">第三部分 </w:t>
      </w:r>
      <w:r w:rsidR="00B76938">
        <w:rPr>
          <w:rFonts w:ascii="黑体" w:eastAsia="黑体" w:hAnsi="黑体" w:hint="eastAsia"/>
          <w:sz w:val="32"/>
          <w:szCs w:val="32"/>
        </w:rPr>
        <w:t>辽宁省互联网技术支撑中心</w:t>
      </w:r>
      <w:r w:rsidR="00AB19A0" w:rsidRPr="00B76938">
        <w:rPr>
          <w:rFonts w:ascii="黑体" w:eastAsia="黑体" w:hAnsi="黑体" w:hint="eastAsia"/>
          <w:sz w:val="32"/>
          <w:szCs w:val="32"/>
        </w:rPr>
        <w:t>2017年部门预算</w:t>
      </w:r>
      <w:r w:rsidR="00B76938" w:rsidRPr="00B76938">
        <w:rPr>
          <w:rFonts w:ascii="黑体" w:eastAsia="黑体" w:hAnsi="黑体" w:hint="eastAsia"/>
          <w:sz w:val="32"/>
          <w:szCs w:val="32"/>
        </w:rPr>
        <w:t>情况说明</w:t>
      </w:r>
    </w:p>
    <w:p w:rsidR="007212FF" w:rsidRPr="00B76938" w:rsidRDefault="00C35F20" w:rsidP="00FC5DDF">
      <w:pPr>
        <w:spacing w:line="560" w:lineRule="exact"/>
        <w:ind w:firstLineChars="200" w:firstLine="643"/>
        <w:rPr>
          <w:rFonts w:ascii="仿宋_GB2312" w:eastAsia="仿宋_GB2312"/>
          <w:b/>
          <w:sz w:val="32"/>
          <w:szCs w:val="32"/>
        </w:rPr>
      </w:pPr>
      <w:r w:rsidRPr="00B76938">
        <w:rPr>
          <w:rFonts w:ascii="仿宋_GB2312" w:eastAsia="仿宋_GB2312" w:hint="eastAsia"/>
          <w:b/>
          <w:sz w:val="32"/>
          <w:szCs w:val="32"/>
        </w:rPr>
        <w:t>一、</w:t>
      </w:r>
      <w:r w:rsidR="00AB19A0" w:rsidRPr="00B76938">
        <w:rPr>
          <w:rFonts w:ascii="仿宋_GB2312" w:eastAsia="仿宋_GB2312" w:hint="eastAsia"/>
          <w:b/>
          <w:sz w:val="32"/>
          <w:szCs w:val="32"/>
        </w:rPr>
        <w:t>2017</w:t>
      </w:r>
      <w:r w:rsidR="00AF0DBA" w:rsidRPr="00B76938">
        <w:rPr>
          <w:rFonts w:ascii="仿宋_GB2312" w:eastAsia="仿宋_GB2312" w:hint="eastAsia"/>
          <w:b/>
          <w:sz w:val="32"/>
          <w:szCs w:val="32"/>
        </w:rPr>
        <w:t>年部门预算的总体说明</w:t>
      </w:r>
    </w:p>
    <w:p w:rsidR="00DB0DFA" w:rsidRPr="00B76938" w:rsidRDefault="00AF0DB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按照综合预算的原则，辽宁省</w:t>
      </w:r>
      <w:r w:rsidR="007212FF" w:rsidRPr="00B76938">
        <w:rPr>
          <w:rFonts w:ascii="仿宋_GB2312" w:eastAsia="仿宋_GB2312" w:hint="eastAsia"/>
          <w:sz w:val="32"/>
          <w:szCs w:val="32"/>
        </w:rPr>
        <w:t>互联网技术支撑中心</w:t>
      </w:r>
      <w:r w:rsidR="00734DA3" w:rsidRPr="00B76938">
        <w:rPr>
          <w:rFonts w:ascii="仿宋_GB2312" w:eastAsia="仿宋_GB2312" w:hint="eastAsia"/>
          <w:sz w:val="32"/>
          <w:szCs w:val="32"/>
        </w:rPr>
        <w:t>所有收入和支出均纳入部门预算管理。收入包括：财政拨款收入；</w:t>
      </w:r>
      <w:r w:rsidRPr="00B76938">
        <w:rPr>
          <w:rFonts w:ascii="仿宋_GB2312" w:eastAsia="仿宋_GB2312" w:hint="eastAsia"/>
          <w:sz w:val="32"/>
          <w:szCs w:val="32"/>
        </w:rPr>
        <w:t>支出包括：</w:t>
      </w:r>
      <w:r w:rsidR="00D90F1D" w:rsidRPr="00B76938">
        <w:rPr>
          <w:rFonts w:ascii="仿宋_GB2312" w:eastAsia="仿宋_GB2312" w:hint="eastAsia"/>
          <w:sz w:val="32"/>
          <w:szCs w:val="32"/>
        </w:rPr>
        <w:t>医疗卫生与计划生育支出、</w:t>
      </w:r>
      <w:r w:rsidR="00734DA3" w:rsidRPr="00B76938">
        <w:rPr>
          <w:rFonts w:ascii="仿宋_GB2312" w:eastAsia="仿宋_GB2312" w:hint="eastAsia"/>
          <w:sz w:val="32"/>
          <w:szCs w:val="32"/>
        </w:rPr>
        <w:t>资源勘探信息等支出</w:t>
      </w:r>
      <w:r w:rsidR="00D90F1D" w:rsidRPr="00B76938">
        <w:rPr>
          <w:rFonts w:ascii="仿宋_GB2312" w:eastAsia="仿宋_GB2312" w:hint="eastAsia"/>
          <w:sz w:val="32"/>
          <w:szCs w:val="32"/>
        </w:rPr>
        <w:t>、</w:t>
      </w:r>
      <w:r w:rsidR="00D90F1D" w:rsidRPr="00B76938">
        <w:rPr>
          <w:rFonts w:ascii="仿宋_GB2312" w:eastAsia="仿宋_GB2312" w:hint="eastAsia"/>
          <w:sz w:val="32"/>
          <w:szCs w:val="32"/>
        </w:rPr>
        <w:lastRenderedPageBreak/>
        <w:t>住房保障支出等</w:t>
      </w:r>
      <w:r w:rsidR="007212FF" w:rsidRPr="00B76938">
        <w:rPr>
          <w:rFonts w:ascii="仿宋_GB2312" w:eastAsia="仿宋_GB2312" w:hint="eastAsia"/>
          <w:sz w:val="32"/>
          <w:szCs w:val="32"/>
        </w:rPr>
        <w:t>。</w:t>
      </w:r>
      <w:r w:rsidRPr="00B76938">
        <w:rPr>
          <w:rFonts w:ascii="仿宋_GB2312" w:eastAsia="仿宋_GB2312" w:hint="eastAsia"/>
          <w:sz w:val="32"/>
          <w:szCs w:val="32"/>
        </w:rPr>
        <w:t>辽宁省</w:t>
      </w:r>
      <w:r w:rsidR="007212FF" w:rsidRPr="00B76938">
        <w:rPr>
          <w:rFonts w:ascii="仿宋_GB2312" w:eastAsia="仿宋_GB2312" w:hint="eastAsia"/>
          <w:sz w:val="32"/>
          <w:szCs w:val="32"/>
        </w:rPr>
        <w:t>互联网技术支撑中心</w:t>
      </w:r>
      <w:r w:rsidR="00D90F1D" w:rsidRPr="00B76938">
        <w:rPr>
          <w:rFonts w:ascii="仿宋_GB2312" w:eastAsia="仿宋_GB2312" w:hint="eastAsia"/>
          <w:sz w:val="32"/>
          <w:szCs w:val="32"/>
        </w:rPr>
        <w:t>2017</w:t>
      </w:r>
      <w:r w:rsidRPr="00B76938">
        <w:rPr>
          <w:rFonts w:ascii="仿宋_GB2312" w:eastAsia="仿宋_GB2312" w:hint="eastAsia"/>
          <w:sz w:val="32"/>
          <w:szCs w:val="32"/>
        </w:rPr>
        <w:t>年收支总预算</w:t>
      </w:r>
      <w:r w:rsidR="009915CF" w:rsidRPr="00B76938">
        <w:rPr>
          <w:rFonts w:ascii="仿宋_GB2312" w:eastAsia="仿宋_GB2312" w:hint="eastAsia"/>
          <w:sz w:val="32"/>
          <w:szCs w:val="32"/>
        </w:rPr>
        <w:t>196.6</w:t>
      </w:r>
      <w:r w:rsidRPr="00B76938">
        <w:rPr>
          <w:rFonts w:ascii="仿宋_GB2312" w:eastAsia="仿宋_GB2312" w:hint="eastAsia"/>
          <w:sz w:val="32"/>
          <w:szCs w:val="32"/>
        </w:rPr>
        <w:t>万元。</w:t>
      </w:r>
    </w:p>
    <w:p w:rsidR="00DB0DFA" w:rsidRPr="00B76938" w:rsidRDefault="00DB0DFA" w:rsidP="00FC5DDF">
      <w:pPr>
        <w:spacing w:line="560" w:lineRule="exact"/>
        <w:ind w:firstLineChars="200" w:firstLine="643"/>
        <w:rPr>
          <w:rFonts w:ascii="仿宋_GB2312" w:eastAsia="仿宋_GB2312"/>
          <w:b/>
          <w:sz w:val="32"/>
          <w:szCs w:val="32"/>
        </w:rPr>
      </w:pPr>
      <w:r w:rsidRPr="00B76938">
        <w:rPr>
          <w:rFonts w:ascii="仿宋_GB2312" w:eastAsia="仿宋_GB2312" w:hint="eastAsia"/>
          <w:b/>
          <w:sz w:val="32"/>
          <w:szCs w:val="32"/>
        </w:rPr>
        <w:t>二、2017年“三公”经费预算情况说明</w:t>
      </w:r>
    </w:p>
    <w:p w:rsidR="00DB0DFA" w:rsidRDefault="00DB0DFA" w:rsidP="00FC5DDF">
      <w:pPr>
        <w:spacing w:line="560" w:lineRule="exact"/>
        <w:ind w:firstLineChars="200" w:firstLine="640"/>
        <w:rPr>
          <w:rFonts w:ascii="仿宋_GB2312" w:eastAsia="仿宋_GB2312"/>
          <w:sz w:val="32"/>
          <w:szCs w:val="32"/>
        </w:rPr>
      </w:pPr>
      <w:r w:rsidRPr="00B76938">
        <w:rPr>
          <w:rFonts w:ascii="仿宋_GB2312" w:eastAsia="仿宋_GB2312" w:hint="eastAsia"/>
          <w:sz w:val="32"/>
          <w:szCs w:val="32"/>
        </w:rPr>
        <w:t>2017年“三公”经费预算数4.1万元，其中：公务用车运行费3.8万元、公务接待费0.3万元。2017年预算数比2016年预算数增加4.1万元，其中：公务用车运行费增加3.8万元、公务接待费增加0.3万元，主要是因为我中心于2015年10月正式成立，2015年基本支出经费省财政厅未予拨付，于2016年5月追加拨付，我中心2015及2016年度指标文件均未涉及“三公”经费指标所导致的。</w:t>
      </w:r>
    </w:p>
    <w:p w:rsidR="00B76938" w:rsidRDefault="00B76938" w:rsidP="00FC5DDF">
      <w:pPr>
        <w:spacing w:line="560" w:lineRule="exact"/>
        <w:ind w:firstLineChars="200" w:firstLine="643"/>
        <w:rPr>
          <w:rFonts w:ascii="仿宋_GB2312" w:eastAsia="仿宋_GB2312"/>
          <w:b/>
          <w:sz w:val="32"/>
          <w:szCs w:val="32"/>
        </w:rPr>
      </w:pPr>
      <w:r w:rsidRPr="00B76938">
        <w:rPr>
          <w:rFonts w:ascii="仿宋_GB2312" w:eastAsia="仿宋_GB2312"/>
          <w:b/>
          <w:sz w:val="32"/>
          <w:szCs w:val="32"/>
        </w:rPr>
        <w:t>三</w:t>
      </w:r>
      <w:r w:rsidRPr="00B76938">
        <w:rPr>
          <w:rFonts w:ascii="仿宋_GB2312" w:eastAsia="仿宋_GB2312" w:hint="eastAsia"/>
          <w:b/>
          <w:sz w:val="32"/>
          <w:szCs w:val="32"/>
        </w:rPr>
        <w:t>、</w:t>
      </w:r>
      <w:r w:rsidR="006F1B6D">
        <w:rPr>
          <w:rFonts w:ascii="仿宋_GB2312" w:eastAsia="仿宋_GB2312" w:hint="eastAsia"/>
          <w:b/>
          <w:sz w:val="32"/>
          <w:szCs w:val="32"/>
        </w:rPr>
        <w:t>其他重要事项的情况说明</w:t>
      </w:r>
    </w:p>
    <w:p w:rsidR="00B76938" w:rsidRDefault="006F1B6D" w:rsidP="00FC5DDF">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（一）机关运行经费预算情况说明</w:t>
      </w:r>
    </w:p>
    <w:p w:rsidR="006F1B6D" w:rsidRDefault="006F1B6D" w:rsidP="00FC5DDF">
      <w:pPr>
        <w:spacing w:line="560" w:lineRule="exact"/>
        <w:ind w:firstLineChars="200" w:firstLine="640"/>
        <w:rPr>
          <w:rFonts w:ascii="仿宋_GB2312" w:eastAsia="仿宋_GB2312"/>
          <w:sz w:val="32"/>
          <w:szCs w:val="32"/>
        </w:rPr>
      </w:pPr>
      <w:r w:rsidRPr="006F1B6D">
        <w:rPr>
          <w:rFonts w:ascii="仿宋_GB2312" w:eastAsia="仿宋_GB2312" w:hint="eastAsia"/>
          <w:sz w:val="32"/>
          <w:szCs w:val="32"/>
        </w:rPr>
        <w:t>2017年</w:t>
      </w:r>
      <w:r>
        <w:rPr>
          <w:rFonts w:ascii="仿宋_GB2312" w:eastAsia="仿宋_GB2312" w:hint="eastAsia"/>
          <w:sz w:val="32"/>
          <w:szCs w:val="32"/>
        </w:rPr>
        <w:t>辽宁省互联网技术支撑中心无</w:t>
      </w:r>
      <w:bookmarkStart w:id="0" w:name="_GoBack"/>
      <w:bookmarkEnd w:id="0"/>
      <w:r>
        <w:rPr>
          <w:rFonts w:ascii="仿宋_GB2312" w:eastAsia="仿宋_GB2312" w:hint="eastAsia"/>
          <w:sz w:val="32"/>
          <w:szCs w:val="32"/>
        </w:rPr>
        <w:t>机关运行经费预算。</w:t>
      </w:r>
    </w:p>
    <w:p w:rsidR="006F1B6D" w:rsidRDefault="006F1B6D" w:rsidP="00FC5DDF">
      <w:pPr>
        <w:spacing w:line="560" w:lineRule="exact"/>
        <w:ind w:firstLineChars="200" w:firstLine="643"/>
        <w:rPr>
          <w:rFonts w:ascii="仿宋_GB2312" w:eastAsia="仿宋_GB2312"/>
          <w:b/>
          <w:sz w:val="32"/>
          <w:szCs w:val="32"/>
        </w:rPr>
      </w:pPr>
      <w:r w:rsidRPr="006F1B6D">
        <w:rPr>
          <w:rFonts w:ascii="仿宋_GB2312" w:eastAsia="仿宋_GB2312" w:hint="eastAsia"/>
          <w:b/>
          <w:sz w:val="32"/>
          <w:szCs w:val="32"/>
        </w:rPr>
        <w:t>（二）政府采购预算情况说明</w:t>
      </w:r>
    </w:p>
    <w:p w:rsidR="006F1B6D" w:rsidRDefault="006F1B6D" w:rsidP="00FC5DDF">
      <w:pPr>
        <w:spacing w:line="560" w:lineRule="exact"/>
        <w:ind w:firstLineChars="200" w:firstLine="640"/>
        <w:rPr>
          <w:rFonts w:ascii="仿宋_GB2312" w:eastAsia="仿宋_GB2312"/>
          <w:sz w:val="32"/>
          <w:szCs w:val="32"/>
        </w:rPr>
      </w:pPr>
      <w:r w:rsidRPr="006F1B6D">
        <w:rPr>
          <w:rFonts w:ascii="仿宋_GB2312" w:eastAsia="仿宋_GB2312" w:hint="eastAsia"/>
          <w:sz w:val="32"/>
          <w:szCs w:val="32"/>
        </w:rPr>
        <w:t>2017</w:t>
      </w:r>
      <w:r>
        <w:rPr>
          <w:rFonts w:ascii="仿宋_GB2312" w:eastAsia="仿宋_GB2312" w:hint="eastAsia"/>
          <w:sz w:val="32"/>
          <w:szCs w:val="32"/>
        </w:rPr>
        <w:t>年辽宁省互联网技术支撑中心政府采购预算数98.8万元，为监测系统运行维护保障费支出，其中：租线费26万元、网络运行维护费72.8万元。</w:t>
      </w:r>
    </w:p>
    <w:p w:rsidR="006F1B6D" w:rsidRDefault="006F1B6D" w:rsidP="00FC5DDF">
      <w:pPr>
        <w:spacing w:line="560" w:lineRule="exact"/>
        <w:ind w:firstLineChars="200" w:firstLine="643"/>
        <w:rPr>
          <w:rFonts w:ascii="仿宋_GB2312" w:eastAsia="仿宋_GB2312"/>
          <w:b/>
          <w:sz w:val="32"/>
          <w:szCs w:val="32"/>
        </w:rPr>
      </w:pPr>
      <w:r w:rsidRPr="006F1B6D">
        <w:rPr>
          <w:rFonts w:ascii="仿宋_GB2312" w:eastAsia="仿宋_GB2312" w:hint="eastAsia"/>
          <w:b/>
          <w:sz w:val="32"/>
          <w:szCs w:val="32"/>
        </w:rPr>
        <w:t>（三）</w:t>
      </w:r>
      <w:r>
        <w:rPr>
          <w:rFonts w:ascii="仿宋_GB2312" w:eastAsia="仿宋_GB2312" w:hint="eastAsia"/>
          <w:b/>
          <w:sz w:val="32"/>
          <w:szCs w:val="32"/>
        </w:rPr>
        <w:t>预算绩效管理情况说明</w:t>
      </w:r>
    </w:p>
    <w:p w:rsidR="006F1B6D" w:rsidRPr="002C61B0" w:rsidRDefault="006F1B6D" w:rsidP="00FC5DDF">
      <w:pPr>
        <w:spacing w:line="560" w:lineRule="exact"/>
        <w:ind w:firstLineChars="200" w:firstLine="640"/>
        <w:rPr>
          <w:rFonts w:ascii="仿宋_GB2312" w:eastAsia="仿宋_GB2312"/>
          <w:sz w:val="32"/>
          <w:szCs w:val="32"/>
        </w:rPr>
      </w:pPr>
      <w:r w:rsidRPr="006F1B6D">
        <w:rPr>
          <w:rFonts w:ascii="仿宋_GB2312" w:eastAsia="仿宋_GB2312" w:hint="eastAsia"/>
          <w:sz w:val="32"/>
          <w:szCs w:val="32"/>
        </w:rPr>
        <w:t>2017</w:t>
      </w:r>
      <w:r>
        <w:rPr>
          <w:rFonts w:ascii="仿宋_GB2312" w:eastAsia="仿宋_GB2312" w:hint="eastAsia"/>
          <w:sz w:val="32"/>
          <w:szCs w:val="32"/>
        </w:rPr>
        <w:t>年辽宁省互联网技术支撑中心无纳入</w:t>
      </w:r>
      <w:r w:rsidR="009057C8">
        <w:rPr>
          <w:rFonts w:ascii="仿宋_GB2312" w:eastAsia="仿宋_GB2312" w:hint="eastAsia"/>
          <w:sz w:val="32"/>
          <w:szCs w:val="32"/>
        </w:rPr>
        <w:t>预算绩效管理的项目。</w:t>
      </w:r>
    </w:p>
    <w:p w:rsidR="007212FF" w:rsidRDefault="007212FF" w:rsidP="00FC5DDF">
      <w:pPr>
        <w:spacing w:line="560" w:lineRule="exact"/>
        <w:jc w:val="center"/>
        <w:rPr>
          <w:rFonts w:ascii="黑体" w:eastAsia="PMingLiU" w:hAnsi="黑体"/>
          <w:sz w:val="32"/>
          <w:szCs w:val="32"/>
          <w:lang w:eastAsia="zh-TW"/>
        </w:rPr>
      </w:pPr>
      <w:r w:rsidRPr="007212FF">
        <w:rPr>
          <w:rFonts w:ascii="黑体" w:eastAsia="黑体" w:hAnsi="黑体" w:hint="eastAsia"/>
          <w:sz w:val="32"/>
          <w:szCs w:val="32"/>
          <w:lang w:eastAsia="zh-TW"/>
        </w:rPr>
        <w:t>第四部分 名词解释</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w:t>
      </w:r>
      <w:r>
        <w:rPr>
          <w:rFonts w:ascii="仿宋_GB2312" w:eastAsia="仿宋_GB2312" w:hint="eastAsia"/>
          <w:sz w:val="32"/>
          <w:szCs w:val="32"/>
        </w:rPr>
        <w:lastRenderedPageBreak/>
        <w:t>的非财政性补助收入。</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w:t>
      </w:r>
      <w:r>
        <w:rPr>
          <w:rFonts w:ascii="仿宋_GB2312" w:eastAsia="仿宋_GB2312" w:hint="eastAsia"/>
          <w:sz w:val="32"/>
          <w:szCs w:val="32"/>
        </w:rPr>
        <w:lastRenderedPageBreak/>
        <w:t>门的规定上缴上级单位的支出。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反映财政部门用于预算改革方面的支出。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19.一般公共服务（类）财政事务（款）信息化建设支（项）：</w:t>
      </w:r>
      <w:r>
        <w:rPr>
          <w:rFonts w:ascii="仿宋_GB2312" w:eastAsia="仿宋_GB2312" w:hint="eastAsia"/>
          <w:sz w:val="32"/>
          <w:szCs w:val="32"/>
        </w:rPr>
        <w:t>反映财政部门用于“金财工程”等信息化建设方面的支出。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20.一般公共服务（类）财政事务（款）事业运行（项）：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21.一般公共服务（类）财政事务（款）其他财政事务支出（项）：</w:t>
      </w:r>
      <w:r>
        <w:rPr>
          <w:rFonts w:ascii="仿宋_GB2312" w:eastAsia="仿宋_GB2312" w:hint="eastAsia"/>
          <w:sz w:val="32"/>
          <w:szCs w:val="32"/>
        </w:rPr>
        <w:t>反映除上述项目以外其他财政事务方面的支出。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22.一般公共服务（类）其他一般公共服务支出（款）其他一般公共服务支出（项）：</w:t>
      </w:r>
      <w:r>
        <w:rPr>
          <w:rFonts w:ascii="仿宋_GB2312" w:eastAsia="仿宋_GB2312" w:hint="eastAsia"/>
          <w:sz w:val="32"/>
          <w:szCs w:val="32"/>
        </w:rPr>
        <w:t>反映除上述项目以外的其他一般公共服务支出。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23.科学技术（类）其他科学技术支出（款）其他科学技术支出（项）：</w:t>
      </w:r>
      <w:r>
        <w:rPr>
          <w:rFonts w:ascii="仿宋_GB2312" w:eastAsia="仿宋_GB2312" w:hint="eastAsia"/>
          <w:sz w:val="32"/>
          <w:szCs w:val="32"/>
        </w:rPr>
        <w:t>反映其他用于科技方面的支出。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24.社会保障和就业（类）行政事业单位离退休（款）归口管理的行政单位离退休（项）：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25.社会保障和就业（类）行政事业单位离退休（款）事业单位离退休（项）：</w:t>
      </w:r>
      <w:r>
        <w:rPr>
          <w:rFonts w:ascii="仿宋_GB2312" w:eastAsia="仿宋_GB2312" w:hint="eastAsia"/>
          <w:sz w:val="32"/>
          <w:szCs w:val="32"/>
        </w:rPr>
        <w:t>反映实行归口管理的事业单位开支的离退休经费。</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26.医疗卫生（类）医疗保障（款）行政单位医疗（项）：</w:t>
      </w:r>
      <w:r>
        <w:rPr>
          <w:rFonts w:ascii="仿宋_GB2312" w:eastAsia="仿宋_GB2312" w:hint="eastAsia"/>
          <w:sz w:val="32"/>
          <w:szCs w:val="32"/>
        </w:rPr>
        <w:t>反映财政部门集中安排的行政单位基本医疗保险缴</w:t>
      </w:r>
      <w:r>
        <w:rPr>
          <w:rFonts w:ascii="仿宋_GB2312" w:eastAsia="仿宋_GB2312" w:hint="eastAsia"/>
          <w:sz w:val="32"/>
          <w:szCs w:val="32"/>
        </w:rPr>
        <w:lastRenderedPageBreak/>
        <w:t>费经费，未参加医疗保险的行政单位的公费医疗经费，按国家规定享受离休人员、红军老战士待遇人员的医疗经费。</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27.医疗卫生（类）其他医疗卫生支出（款）其他医疗卫生支出（项）：</w:t>
      </w:r>
      <w:r>
        <w:rPr>
          <w:rFonts w:ascii="仿宋_GB2312" w:eastAsia="仿宋_GB2312" w:hint="eastAsia"/>
          <w:sz w:val="32"/>
          <w:szCs w:val="32"/>
        </w:rPr>
        <w:t>反映除上述项目以外其他用于医疗卫生方面的支出。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28.农林水事务（类）农业（款）其他农业支出（项）：</w:t>
      </w:r>
      <w:r>
        <w:rPr>
          <w:rFonts w:ascii="仿宋_GB2312" w:eastAsia="仿宋_GB2312" w:hint="eastAsia"/>
          <w:sz w:val="32"/>
          <w:szCs w:val="32"/>
        </w:rPr>
        <w:t>反映其他用于农业方面的支出。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29.交通运输（类）石油价格改革对交通运输的补贴（款）石油价格改革补贴其他支出（项）：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30.资源勘探电力信息等事务（类）工业和信息产业监管支出（款）其他工业和信息产业监管支出（项）：</w:t>
      </w:r>
      <w:r>
        <w:rPr>
          <w:rFonts w:ascii="仿宋_GB2312" w:eastAsia="仿宋_GB2312" w:hint="eastAsia"/>
          <w:sz w:val="32"/>
          <w:szCs w:val="32"/>
        </w:rPr>
        <w:t>反映其他用于工业和信息产业监管方面的支出。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31.商业服务业等事务（类）商业流通事务（款）其他商业流通事务支出（项）：</w:t>
      </w:r>
      <w:r>
        <w:rPr>
          <w:rFonts w:ascii="仿宋_GB2312" w:eastAsia="仿宋_GB2312" w:hint="eastAsia"/>
          <w:sz w:val="32"/>
          <w:szCs w:val="32"/>
        </w:rPr>
        <w:t>反映其他用于商业流通事务方面的支出。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32. 商业服务业等事务（类）商业流通事务（款）其他涉外发展服务支出（项）：</w:t>
      </w:r>
      <w:r>
        <w:rPr>
          <w:rFonts w:ascii="仿宋_GB2312" w:eastAsia="仿宋_GB2312" w:hint="eastAsia"/>
          <w:sz w:val="32"/>
          <w:szCs w:val="32"/>
        </w:rPr>
        <w:t>反映其他用于涉外发展服务方面的支出。</w:t>
      </w:r>
    </w:p>
    <w:p w:rsidR="007212FF" w:rsidRDefault="007212FF" w:rsidP="00FC5DD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33. 国土资源气象等事务（类）国土资源事务（款）其他国土资源事务支出（项）：</w:t>
      </w:r>
      <w:r>
        <w:rPr>
          <w:rFonts w:ascii="仿宋_GB2312" w:eastAsia="仿宋_GB2312" w:hint="eastAsia"/>
          <w:sz w:val="32"/>
          <w:szCs w:val="32"/>
        </w:rPr>
        <w:t>反映其他用于国土资源事务方面的支出。</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34.住房保障（类）住房改革（款）住房公积金</w:t>
      </w:r>
      <w:r>
        <w:rPr>
          <w:rFonts w:ascii="仿宋_GB2312" w:eastAsia="仿宋_GB2312" w:hint="eastAsia"/>
          <w:b/>
          <w:sz w:val="32"/>
          <w:szCs w:val="32"/>
        </w:rPr>
        <w:lastRenderedPageBreak/>
        <w:t>（项）：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35.其他支出（类）其他支出（款）其他支出（项）：</w:t>
      </w:r>
      <w:r>
        <w:rPr>
          <w:rFonts w:ascii="仿宋_GB2312" w:eastAsia="仿宋_GB2312" w:hint="eastAsia"/>
          <w:sz w:val="32"/>
          <w:szCs w:val="32"/>
        </w:rPr>
        <w:t>反映其他不能划分到具体功能科目中的支出项目。</w:t>
      </w:r>
    </w:p>
    <w:p w:rsidR="007212FF" w:rsidRDefault="007212FF" w:rsidP="00FC5DD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36.机关运行经费：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212FF" w:rsidRPr="007212FF" w:rsidRDefault="007212FF" w:rsidP="00FC5DDF">
      <w:pPr>
        <w:spacing w:line="560" w:lineRule="exact"/>
        <w:jc w:val="left"/>
        <w:rPr>
          <w:rFonts w:ascii="黑体" w:eastAsia="PMingLiU" w:hAnsi="黑体"/>
          <w:sz w:val="32"/>
          <w:szCs w:val="32"/>
          <w:lang w:eastAsia="zh-TW"/>
        </w:rPr>
      </w:pPr>
    </w:p>
    <w:sectPr w:rsidR="007212FF" w:rsidRPr="007212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F34" w:rsidRDefault="00405F34" w:rsidP="00F54A21">
      <w:r>
        <w:separator/>
      </w:r>
    </w:p>
  </w:endnote>
  <w:endnote w:type="continuationSeparator" w:id="0">
    <w:p w:rsidR="00405F34" w:rsidRDefault="00405F34" w:rsidP="00F5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F34" w:rsidRDefault="00405F34" w:rsidP="00F54A21">
      <w:r>
        <w:separator/>
      </w:r>
    </w:p>
  </w:footnote>
  <w:footnote w:type="continuationSeparator" w:id="0">
    <w:p w:rsidR="00405F34" w:rsidRDefault="00405F34" w:rsidP="00F54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A1AA8"/>
    <w:multiLevelType w:val="hybridMultilevel"/>
    <w:tmpl w:val="8C24C270"/>
    <w:lvl w:ilvl="0" w:tplc="BD202C30">
      <w:start w:val="1"/>
      <w:numFmt w:val="japaneseCounting"/>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552E30"/>
    <w:multiLevelType w:val="hybridMultilevel"/>
    <w:tmpl w:val="6DCCA126"/>
    <w:lvl w:ilvl="0" w:tplc="52AE2F14">
      <w:start w:val="1"/>
      <w:numFmt w:val="japaneseCounting"/>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98"/>
    <w:rsid w:val="00063498"/>
    <w:rsid w:val="00070752"/>
    <w:rsid w:val="00183952"/>
    <w:rsid w:val="001D45FE"/>
    <w:rsid w:val="00225B22"/>
    <w:rsid w:val="002A5E1B"/>
    <w:rsid w:val="002C61B0"/>
    <w:rsid w:val="003328F7"/>
    <w:rsid w:val="003D182E"/>
    <w:rsid w:val="00405F34"/>
    <w:rsid w:val="00447E8C"/>
    <w:rsid w:val="0046369F"/>
    <w:rsid w:val="004D10A4"/>
    <w:rsid w:val="005B228D"/>
    <w:rsid w:val="005C2C5E"/>
    <w:rsid w:val="00643E43"/>
    <w:rsid w:val="006A47DC"/>
    <w:rsid w:val="006F1B6D"/>
    <w:rsid w:val="007212FF"/>
    <w:rsid w:val="00734DA3"/>
    <w:rsid w:val="009057C8"/>
    <w:rsid w:val="00985FA2"/>
    <w:rsid w:val="009915CF"/>
    <w:rsid w:val="009F42BB"/>
    <w:rsid w:val="00A0189B"/>
    <w:rsid w:val="00AB19A0"/>
    <w:rsid w:val="00AF0DBA"/>
    <w:rsid w:val="00AF218C"/>
    <w:rsid w:val="00B13648"/>
    <w:rsid w:val="00B45F63"/>
    <w:rsid w:val="00B76938"/>
    <w:rsid w:val="00BC347A"/>
    <w:rsid w:val="00C35F20"/>
    <w:rsid w:val="00CC3E62"/>
    <w:rsid w:val="00D90F1D"/>
    <w:rsid w:val="00DB0DFA"/>
    <w:rsid w:val="00F54A21"/>
    <w:rsid w:val="00FC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F3E198-E224-4F44-8A11-B66A0B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A21"/>
    <w:rPr>
      <w:sz w:val="18"/>
      <w:szCs w:val="18"/>
    </w:rPr>
  </w:style>
  <w:style w:type="paragraph" w:styleId="a4">
    <w:name w:val="footer"/>
    <w:basedOn w:val="a"/>
    <w:link w:val="Char0"/>
    <w:uiPriority w:val="99"/>
    <w:unhideWhenUsed/>
    <w:rsid w:val="00F54A21"/>
    <w:pPr>
      <w:tabs>
        <w:tab w:val="center" w:pos="4153"/>
        <w:tab w:val="right" w:pos="8306"/>
      </w:tabs>
      <w:snapToGrid w:val="0"/>
      <w:jc w:val="left"/>
    </w:pPr>
    <w:rPr>
      <w:sz w:val="18"/>
      <w:szCs w:val="18"/>
    </w:rPr>
  </w:style>
  <w:style w:type="character" w:customStyle="1" w:styleId="Char0">
    <w:name w:val="页脚 Char"/>
    <w:basedOn w:val="a0"/>
    <w:link w:val="a4"/>
    <w:uiPriority w:val="99"/>
    <w:rsid w:val="00F54A21"/>
    <w:rPr>
      <w:sz w:val="18"/>
      <w:szCs w:val="18"/>
    </w:rPr>
  </w:style>
  <w:style w:type="paragraph" w:styleId="a5">
    <w:name w:val="List Paragraph"/>
    <w:basedOn w:val="a"/>
    <w:uiPriority w:val="34"/>
    <w:qFormat/>
    <w:rsid w:val="007212FF"/>
    <w:pPr>
      <w:ind w:firstLineChars="200" w:firstLine="420"/>
    </w:pPr>
  </w:style>
  <w:style w:type="paragraph" w:styleId="a6">
    <w:name w:val="Normal (Web)"/>
    <w:basedOn w:val="a"/>
    <w:uiPriority w:val="99"/>
    <w:semiHidden/>
    <w:unhideWhenUsed/>
    <w:rsid w:val="00643E43"/>
    <w:rPr>
      <w:rFonts w:ascii="Times New Roman" w:hAnsi="Times New Roman" w:cs="Times New Roman"/>
      <w:sz w:val="24"/>
      <w:szCs w:val="24"/>
    </w:rPr>
  </w:style>
  <w:style w:type="character" w:styleId="a7">
    <w:name w:val="Hyperlink"/>
    <w:basedOn w:val="a0"/>
    <w:uiPriority w:val="99"/>
    <w:unhideWhenUsed/>
    <w:rsid w:val="002A5E1B"/>
    <w:rPr>
      <w:color w:val="0563C1" w:themeColor="hyperlink"/>
      <w:u w:val="single"/>
    </w:rPr>
  </w:style>
  <w:style w:type="character" w:styleId="a8">
    <w:name w:val="FollowedHyperlink"/>
    <w:basedOn w:val="a0"/>
    <w:uiPriority w:val="99"/>
    <w:semiHidden/>
    <w:unhideWhenUsed/>
    <w:rsid w:val="002A5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89553">
      <w:bodyDiv w:val="1"/>
      <w:marLeft w:val="0"/>
      <w:marRight w:val="0"/>
      <w:marTop w:val="0"/>
      <w:marBottom w:val="0"/>
      <w:divBdr>
        <w:top w:val="none" w:sz="0" w:space="0" w:color="auto"/>
        <w:left w:val="none" w:sz="0" w:space="0" w:color="auto"/>
        <w:bottom w:val="none" w:sz="0" w:space="0" w:color="auto"/>
        <w:right w:val="none" w:sz="0" w:space="0" w:color="auto"/>
      </w:divBdr>
      <w:divsChild>
        <w:div w:id="548416319">
          <w:marLeft w:val="0"/>
          <w:marRight w:val="0"/>
          <w:marTop w:val="0"/>
          <w:marBottom w:val="0"/>
          <w:divBdr>
            <w:top w:val="none" w:sz="0" w:space="0" w:color="auto"/>
            <w:left w:val="none" w:sz="0" w:space="0" w:color="auto"/>
            <w:bottom w:val="none" w:sz="0" w:space="0" w:color="auto"/>
            <w:right w:val="none" w:sz="0" w:space="0" w:color="auto"/>
          </w:divBdr>
          <w:divsChild>
            <w:div w:id="127860910">
              <w:marLeft w:val="0"/>
              <w:marRight w:val="0"/>
              <w:marTop w:val="0"/>
              <w:marBottom w:val="0"/>
              <w:divBdr>
                <w:top w:val="none" w:sz="0" w:space="0" w:color="auto"/>
                <w:left w:val="none" w:sz="0" w:space="0" w:color="auto"/>
                <w:bottom w:val="none" w:sz="0" w:space="0" w:color="auto"/>
                <w:right w:val="none" w:sz="0" w:space="0" w:color="auto"/>
              </w:divBdr>
              <w:divsChild>
                <w:div w:id="1383166861">
                  <w:marLeft w:val="0"/>
                  <w:marRight w:val="0"/>
                  <w:marTop w:val="0"/>
                  <w:marBottom w:val="0"/>
                  <w:divBdr>
                    <w:top w:val="none" w:sz="0" w:space="0" w:color="auto"/>
                    <w:left w:val="none" w:sz="0" w:space="0" w:color="auto"/>
                    <w:bottom w:val="none" w:sz="0" w:space="0" w:color="auto"/>
                    <w:right w:val="none" w:sz="0" w:space="0" w:color="auto"/>
                  </w:divBdr>
                  <w:divsChild>
                    <w:div w:id="1694502425">
                      <w:marLeft w:val="0"/>
                      <w:marRight w:val="0"/>
                      <w:marTop w:val="0"/>
                      <w:marBottom w:val="0"/>
                      <w:divBdr>
                        <w:top w:val="none" w:sz="0" w:space="0" w:color="auto"/>
                        <w:left w:val="none" w:sz="0" w:space="0" w:color="auto"/>
                        <w:bottom w:val="none" w:sz="0" w:space="0" w:color="auto"/>
                        <w:right w:val="none" w:sz="0" w:space="0" w:color="auto"/>
                      </w:divBdr>
                      <w:divsChild>
                        <w:div w:id="2295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48003">
      <w:bodyDiv w:val="1"/>
      <w:marLeft w:val="0"/>
      <w:marRight w:val="0"/>
      <w:marTop w:val="0"/>
      <w:marBottom w:val="0"/>
      <w:divBdr>
        <w:top w:val="none" w:sz="0" w:space="0" w:color="auto"/>
        <w:left w:val="none" w:sz="0" w:space="0" w:color="auto"/>
        <w:bottom w:val="none" w:sz="0" w:space="0" w:color="auto"/>
        <w:right w:val="none" w:sz="0" w:space="0" w:color="auto"/>
      </w:divBdr>
      <w:divsChild>
        <w:div w:id="1972207290">
          <w:marLeft w:val="0"/>
          <w:marRight w:val="0"/>
          <w:marTop w:val="0"/>
          <w:marBottom w:val="0"/>
          <w:divBdr>
            <w:top w:val="none" w:sz="0" w:space="0" w:color="auto"/>
            <w:left w:val="none" w:sz="0" w:space="0" w:color="auto"/>
            <w:bottom w:val="none" w:sz="0" w:space="0" w:color="auto"/>
            <w:right w:val="none" w:sz="0" w:space="0" w:color="auto"/>
          </w:divBdr>
          <w:divsChild>
            <w:div w:id="1515614062">
              <w:marLeft w:val="0"/>
              <w:marRight w:val="0"/>
              <w:marTop w:val="0"/>
              <w:marBottom w:val="0"/>
              <w:divBdr>
                <w:top w:val="none" w:sz="0" w:space="0" w:color="auto"/>
                <w:left w:val="none" w:sz="0" w:space="0" w:color="auto"/>
                <w:bottom w:val="none" w:sz="0" w:space="0" w:color="auto"/>
                <w:right w:val="none" w:sz="0" w:space="0" w:color="auto"/>
              </w:divBdr>
              <w:divsChild>
                <w:div w:id="388842386">
                  <w:marLeft w:val="0"/>
                  <w:marRight w:val="0"/>
                  <w:marTop w:val="0"/>
                  <w:marBottom w:val="0"/>
                  <w:divBdr>
                    <w:top w:val="none" w:sz="0" w:space="0" w:color="auto"/>
                    <w:left w:val="none" w:sz="0" w:space="0" w:color="auto"/>
                    <w:bottom w:val="none" w:sz="0" w:space="0" w:color="auto"/>
                    <w:right w:val="none" w:sz="0" w:space="0" w:color="auto"/>
                  </w:divBdr>
                  <w:divsChild>
                    <w:div w:id="1522739951">
                      <w:marLeft w:val="0"/>
                      <w:marRight w:val="0"/>
                      <w:marTop w:val="0"/>
                      <w:marBottom w:val="0"/>
                      <w:divBdr>
                        <w:top w:val="none" w:sz="0" w:space="0" w:color="auto"/>
                        <w:left w:val="none" w:sz="0" w:space="0" w:color="auto"/>
                        <w:bottom w:val="none" w:sz="0" w:space="0" w:color="auto"/>
                        <w:right w:val="none" w:sz="0" w:space="0" w:color="auto"/>
                      </w:divBdr>
                      <w:divsChild>
                        <w:div w:id="2045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79715">
      <w:bodyDiv w:val="1"/>
      <w:marLeft w:val="0"/>
      <w:marRight w:val="0"/>
      <w:marTop w:val="0"/>
      <w:marBottom w:val="0"/>
      <w:divBdr>
        <w:top w:val="none" w:sz="0" w:space="0" w:color="auto"/>
        <w:left w:val="none" w:sz="0" w:space="0" w:color="auto"/>
        <w:bottom w:val="none" w:sz="0" w:space="0" w:color="auto"/>
        <w:right w:val="none" w:sz="0" w:space="0" w:color="auto"/>
      </w:divBdr>
      <w:divsChild>
        <w:div w:id="264311771">
          <w:marLeft w:val="0"/>
          <w:marRight w:val="0"/>
          <w:marTop w:val="0"/>
          <w:marBottom w:val="0"/>
          <w:divBdr>
            <w:top w:val="none" w:sz="0" w:space="0" w:color="auto"/>
            <w:left w:val="none" w:sz="0" w:space="0" w:color="auto"/>
            <w:bottom w:val="none" w:sz="0" w:space="0" w:color="auto"/>
            <w:right w:val="none" w:sz="0" w:space="0" w:color="auto"/>
          </w:divBdr>
          <w:divsChild>
            <w:div w:id="798494648">
              <w:marLeft w:val="0"/>
              <w:marRight w:val="0"/>
              <w:marTop w:val="0"/>
              <w:marBottom w:val="0"/>
              <w:divBdr>
                <w:top w:val="none" w:sz="0" w:space="0" w:color="auto"/>
                <w:left w:val="none" w:sz="0" w:space="0" w:color="auto"/>
                <w:bottom w:val="none" w:sz="0" w:space="0" w:color="auto"/>
                <w:right w:val="none" w:sz="0" w:space="0" w:color="auto"/>
              </w:divBdr>
              <w:divsChild>
                <w:div w:id="1464809277">
                  <w:marLeft w:val="0"/>
                  <w:marRight w:val="0"/>
                  <w:marTop w:val="0"/>
                  <w:marBottom w:val="0"/>
                  <w:divBdr>
                    <w:top w:val="none" w:sz="0" w:space="0" w:color="auto"/>
                    <w:left w:val="none" w:sz="0" w:space="0" w:color="auto"/>
                    <w:bottom w:val="none" w:sz="0" w:space="0" w:color="auto"/>
                    <w:right w:val="none" w:sz="0" w:space="0" w:color="auto"/>
                  </w:divBdr>
                  <w:divsChild>
                    <w:div w:id="1601910076">
                      <w:marLeft w:val="0"/>
                      <w:marRight w:val="0"/>
                      <w:marTop w:val="0"/>
                      <w:marBottom w:val="0"/>
                      <w:divBdr>
                        <w:top w:val="none" w:sz="0" w:space="0" w:color="auto"/>
                        <w:left w:val="none" w:sz="0" w:space="0" w:color="auto"/>
                        <w:bottom w:val="none" w:sz="0" w:space="0" w:color="auto"/>
                        <w:right w:val="none" w:sz="0" w:space="0" w:color="auto"/>
                      </w:divBdr>
                      <w:divsChild>
                        <w:div w:id="2424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49017">
      <w:bodyDiv w:val="1"/>
      <w:marLeft w:val="0"/>
      <w:marRight w:val="0"/>
      <w:marTop w:val="0"/>
      <w:marBottom w:val="0"/>
      <w:divBdr>
        <w:top w:val="none" w:sz="0" w:space="0" w:color="auto"/>
        <w:left w:val="none" w:sz="0" w:space="0" w:color="auto"/>
        <w:bottom w:val="none" w:sz="0" w:space="0" w:color="auto"/>
        <w:right w:val="none" w:sz="0" w:space="0" w:color="auto"/>
      </w:divBdr>
      <w:divsChild>
        <w:div w:id="1388185617">
          <w:marLeft w:val="0"/>
          <w:marRight w:val="0"/>
          <w:marTop w:val="0"/>
          <w:marBottom w:val="0"/>
          <w:divBdr>
            <w:top w:val="none" w:sz="0" w:space="0" w:color="auto"/>
            <w:left w:val="none" w:sz="0" w:space="0" w:color="auto"/>
            <w:bottom w:val="none" w:sz="0" w:space="0" w:color="auto"/>
            <w:right w:val="none" w:sz="0" w:space="0" w:color="auto"/>
          </w:divBdr>
          <w:divsChild>
            <w:div w:id="1651670000">
              <w:marLeft w:val="0"/>
              <w:marRight w:val="0"/>
              <w:marTop w:val="0"/>
              <w:marBottom w:val="0"/>
              <w:divBdr>
                <w:top w:val="none" w:sz="0" w:space="0" w:color="auto"/>
                <w:left w:val="none" w:sz="0" w:space="0" w:color="auto"/>
                <w:bottom w:val="none" w:sz="0" w:space="0" w:color="auto"/>
                <w:right w:val="none" w:sz="0" w:space="0" w:color="auto"/>
              </w:divBdr>
              <w:divsChild>
                <w:div w:id="695498926">
                  <w:marLeft w:val="0"/>
                  <w:marRight w:val="0"/>
                  <w:marTop w:val="0"/>
                  <w:marBottom w:val="0"/>
                  <w:divBdr>
                    <w:top w:val="none" w:sz="0" w:space="0" w:color="auto"/>
                    <w:left w:val="none" w:sz="0" w:space="0" w:color="auto"/>
                    <w:bottom w:val="none" w:sz="0" w:space="0" w:color="auto"/>
                    <w:right w:val="none" w:sz="0" w:space="0" w:color="auto"/>
                  </w:divBdr>
                  <w:divsChild>
                    <w:div w:id="1780181701">
                      <w:marLeft w:val="0"/>
                      <w:marRight w:val="0"/>
                      <w:marTop w:val="0"/>
                      <w:marBottom w:val="0"/>
                      <w:divBdr>
                        <w:top w:val="none" w:sz="0" w:space="0" w:color="auto"/>
                        <w:left w:val="none" w:sz="0" w:space="0" w:color="auto"/>
                        <w:bottom w:val="none" w:sz="0" w:space="0" w:color="auto"/>
                        <w:right w:val="none" w:sz="0" w:space="0" w:color="auto"/>
                      </w:divBdr>
                      <w:divsChild>
                        <w:div w:id="2923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9</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17</cp:revision>
  <dcterms:created xsi:type="dcterms:W3CDTF">2016-03-03T01:28:00Z</dcterms:created>
  <dcterms:modified xsi:type="dcterms:W3CDTF">2017-02-22T07:20:00Z</dcterms:modified>
</cp:coreProperties>
</file>