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rPr>
          <w:b/>
          <w:sz w:val="44"/>
          <w:szCs w:val="44"/>
          <w:u w:val="single"/>
        </w:rPr>
      </w:pPr>
    </w:p>
    <w:p>
      <w:pPr>
        <w:spacing w:line="560" w:lineRule="exact"/>
        <w:jc w:val="center"/>
        <w:rPr>
          <w:b/>
          <w:sz w:val="44"/>
          <w:szCs w:val="44"/>
          <w:u w:val="single"/>
        </w:rPr>
      </w:pPr>
    </w:p>
    <w:p>
      <w:pPr>
        <w:pStyle w:val="2"/>
        <w:rPr>
          <w:b/>
          <w:sz w:val="44"/>
          <w:szCs w:val="44"/>
          <w:u w:val="single"/>
        </w:rPr>
      </w:pPr>
    </w:p>
    <w:p>
      <w:pPr>
        <w:rPr>
          <w:b/>
          <w:sz w:val="44"/>
          <w:szCs w:val="44"/>
          <w:u w:val="single"/>
        </w:rPr>
      </w:pPr>
    </w:p>
    <w:p>
      <w:pPr>
        <w:pStyle w:val="2"/>
        <w:rPr>
          <w:b/>
          <w:sz w:val="44"/>
          <w:szCs w:val="44"/>
          <w:u w:val="single"/>
        </w:rPr>
      </w:pPr>
    </w:p>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hint="eastAsia"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t>辽宁省互联网技术支撑中心</w:t>
      </w:r>
    </w:p>
    <w:p>
      <w:pPr>
        <w:spacing w:line="560" w:lineRule="exact"/>
        <w:jc w:val="center"/>
        <w:rPr>
          <w:bCs/>
          <w:sz w:val="32"/>
          <w:szCs w:val="32"/>
          <w:u w:val="single"/>
        </w:rPr>
      </w:pPr>
      <w:r>
        <w:rPr>
          <w:rFonts w:hint="eastAsia" w:asciiTheme="minorEastAsia" w:hAnsiTheme="minorEastAsia" w:eastAsiaTheme="minorEastAsia" w:cstheme="minorEastAsia"/>
          <w:b/>
          <w:sz w:val="52"/>
          <w:szCs w:val="52"/>
        </w:rPr>
        <w:t>202</w:t>
      </w:r>
      <w:r>
        <w:rPr>
          <w:rFonts w:hint="eastAsia" w:asciiTheme="minorEastAsia" w:hAnsiTheme="minorEastAsia" w:eastAsiaTheme="minorEastAsia" w:cstheme="minorEastAsia"/>
          <w:b/>
          <w:sz w:val="52"/>
          <w:szCs w:val="52"/>
          <w:lang w:val="en-US" w:eastAsia="zh-CN"/>
        </w:rPr>
        <w:t>3</w:t>
      </w:r>
      <w:r>
        <w:rPr>
          <w:rFonts w:hint="eastAsia" w:asciiTheme="minorEastAsia" w:hAnsiTheme="minorEastAsia" w:eastAsiaTheme="minorEastAsia" w:cstheme="minorEastAsia"/>
          <w:b/>
          <w:sz w:val="52"/>
          <w:szCs w:val="52"/>
        </w:rPr>
        <w:t>年度部门预算</w:t>
      </w: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rPr>
          <w:b/>
          <w:sz w:val="44"/>
          <w:szCs w:val="44"/>
        </w:rPr>
      </w:pPr>
    </w:p>
    <w:p>
      <w:pPr>
        <w:pStyle w:val="2"/>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辽宁省互联网技术支撑中心</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辽宁省互联网技术支撑中心</w:t>
      </w:r>
      <w:r>
        <w:rPr>
          <w:rFonts w:hint="eastAsia" w:ascii="黑体" w:hAnsi="黑体" w:eastAsia="黑体"/>
          <w:sz w:val="32"/>
          <w:szCs w:val="32"/>
          <w:lang w:val="en-US" w:eastAsia="zh-CN"/>
        </w:rPr>
        <w:t>2023</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2023</w:t>
      </w:r>
      <w:r>
        <w:rPr>
          <w:rFonts w:hint="eastAsia" w:ascii="黑体" w:hAnsi="黑体" w:eastAsia="黑体"/>
          <w:sz w:val="32"/>
          <w:szCs w:val="32"/>
        </w:rPr>
        <w:t>年</w:t>
      </w:r>
      <w:r>
        <w:rPr>
          <w:rFonts w:hint="eastAsia" w:ascii="黑体" w:hAnsi="黑体" w:eastAsia="黑体"/>
          <w:sz w:val="32"/>
          <w:szCs w:val="32"/>
          <w:lang w:eastAsia="zh-CN"/>
        </w:rPr>
        <w:t>辽宁省互联网技术支撑中心部门</w:t>
      </w:r>
      <w:r>
        <w:rPr>
          <w:rFonts w:hint="eastAsia" w:ascii="黑体" w:hAnsi="黑体" w:eastAsia="黑体"/>
          <w:sz w:val="32"/>
          <w:szCs w:val="32"/>
        </w:rPr>
        <w:t>预算批复表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收支预算总表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收入预算总表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支出预算总表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财政拨款收支预算总表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一般公共预算支出表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一般公共预算基本支出表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lang w:eastAsia="zh-CN"/>
        </w:rPr>
        <w:t>财政拨款</w:t>
      </w:r>
      <w:r>
        <w:rPr>
          <w:rFonts w:hint="eastAsia" w:ascii="仿宋_GB2312" w:hAnsi="黑体" w:eastAsia="仿宋_GB2312"/>
          <w:sz w:val="32"/>
          <w:szCs w:val="32"/>
        </w:rPr>
        <w:t>预算“三公”经费支出表</w:t>
      </w:r>
    </w:p>
    <w:p>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2"/>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债务支出预算表</w:t>
      </w:r>
    </w:p>
    <w:p>
      <w:pPr>
        <w:numPr>
          <w:ilvl w:val="0"/>
          <w:numId w:val="2"/>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2"/>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2"/>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2"/>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2"/>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ind w:firstLine="645"/>
        <w:jc w:val="center"/>
        <w:rPr>
          <w:rFonts w:ascii="仿宋_GB2312" w:eastAsia="仿宋_GB2312"/>
          <w:sz w:val="32"/>
          <w:szCs w:val="32"/>
        </w:rPr>
      </w:pPr>
      <w:r>
        <w:rPr>
          <w:rFonts w:ascii="仿宋_GB2312" w:eastAsia="仿宋_GB2312"/>
          <w:sz w:val="32"/>
          <w:szCs w:val="32"/>
        </w:rPr>
        <w:t>《辽宁省互联网技术支撑中心部门预决算信息公开管理办法》</w:t>
      </w:r>
    </w:p>
    <w:p>
      <w:pPr>
        <w:spacing w:line="560" w:lineRule="exact"/>
        <w:jc w:val="center"/>
        <w:rPr>
          <w:rFonts w:ascii="仿宋_GB2312" w:eastAsia="仿宋_GB2312"/>
          <w:sz w:val="32"/>
          <w:szCs w:val="32"/>
        </w:rPr>
      </w:pPr>
      <w:r>
        <w:rPr>
          <w:rFonts w:hint="eastAsia" w:ascii="仿宋_GB2312" w:eastAsia="仿宋_GB2312"/>
          <w:sz w:val="32"/>
          <w:szCs w:val="32"/>
        </w:rPr>
        <w:t>第一章 总则</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第一条 为推进和规范预决算信息公开工作，强化社会监督，促进依法理财，转变政府职能，建立透明预算制度，根据《中华人民共和国预算法》、《中华人民共和国政府信息公开条例》（国务院令第492号）、《中共中央办公厅、国务院办公厅印发&lt;关于进一步推进预算公开工作的意见&gt;的通知》（中办发</w:t>
      </w:r>
      <w:r>
        <w:rPr>
          <w:rFonts w:hint="eastAsia" w:ascii="微软雅黑" w:hAnsi="微软雅黑" w:eastAsia="微软雅黑" w:cs="微软雅黑"/>
          <w:sz w:val="32"/>
          <w:szCs w:val="32"/>
        </w:rPr>
        <w:t>﹝</w:t>
      </w:r>
      <w:r>
        <w:rPr>
          <w:rFonts w:hint="eastAsia" w:ascii="仿宋_GB2312" w:eastAsia="仿宋_GB2312"/>
          <w:sz w:val="32"/>
          <w:szCs w:val="32"/>
        </w:rPr>
        <w:t>2016</w:t>
      </w:r>
      <w:r>
        <w:rPr>
          <w:rFonts w:hint="eastAsia" w:ascii="微软雅黑" w:hAnsi="微软雅黑" w:eastAsia="微软雅黑" w:cs="微软雅黑"/>
          <w:sz w:val="32"/>
          <w:szCs w:val="32"/>
        </w:rPr>
        <w:t>﹞</w:t>
      </w:r>
      <w:r>
        <w:rPr>
          <w:rFonts w:hint="eastAsia" w:ascii="仿宋_GB2312" w:eastAsia="仿宋_GB2312"/>
          <w:sz w:val="32"/>
          <w:szCs w:val="32"/>
        </w:rPr>
        <w:t>13号）等有关规定，结合本中心实际，制定本办法。</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第二条 本办法所称预决算信息包括预算管理体制、预算分配政策、预算编制程序等管理制度，以及预算收支安排、预算执行、预算调整和决算等管理信息。</w:t>
      </w:r>
    </w:p>
    <w:p>
      <w:pPr>
        <w:spacing w:line="560" w:lineRule="exact"/>
        <w:ind w:firstLine="646" w:firstLineChars="200"/>
        <w:jc w:val="center"/>
        <w:rPr>
          <w:rFonts w:ascii="仿宋_GB2312" w:eastAsia="仿宋_GB2312"/>
          <w:sz w:val="32"/>
          <w:szCs w:val="32"/>
        </w:rPr>
      </w:pPr>
      <w:r>
        <w:rPr>
          <w:rFonts w:hint="eastAsia" w:ascii="仿宋_GB2312" w:eastAsia="仿宋_GB2312"/>
          <w:sz w:val="32"/>
          <w:szCs w:val="32"/>
        </w:rPr>
        <w:t>第二章  公开原则</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第三条 预决算信息以公开为常态，不公开为例外。预决算信息公开遵循依法依规、真实准确、积极稳妥、分级负责的原则。</w:t>
      </w:r>
    </w:p>
    <w:p>
      <w:pPr>
        <w:spacing w:line="560" w:lineRule="exact"/>
        <w:jc w:val="center"/>
        <w:rPr>
          <w:rFonts w:ascii="仿宋_GB2312" w:eastAsia="仿宋_GB2312"/>
          <w:sz w:val="32"/>
          <w:szCs w:val="32"/>
        </w:rPr>
      </w:pPr>
      <w:r>
        <w:rPr>
          <w:rFonts w:hint="eastAsia" w:ascii="仿宋_GB2312" w:eastAsia="仿宋_GB2312"/>
          <w:sz w:val="32"/>
          <w:szCs w:val="32"/>
        </w:rPr>
        <w:t>第三章 公开主体和职责</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第四条  本中心负责本中心的预决算信息公开工作，履行下列职责：</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（一）制定本中心预决算信息公开的工作方案；</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（二）按规定公开本中心的预决算信息；</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（三）按规定做好公民、法人或者其他组织依申请公开中心预决算信息的答复工作；</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（四）法律、法规、规章规定的其他职责。</w:t>
      </w:r>
    </w:p>
    <w:p>
      <w:pPr>
        <w:spacing w:line="560" w:lineRule="exact"/>
        <w:jc w:val="center"/>
        <w:rPr>
          <w:rFonts w:ascii="仿宋_GB2312" w:eastAsia="仿宋_GB2312"/>
          <w:sz w:val="32"/>
          <w:szCs w:val="32"/>
        </w:rPr>
      </w:pPr>
      <w:r>
        <w:rPr>
          <w:rFonts w:hint="eastAsia" w:ascii="仿宋_GB2312" w:eastAsia="仿宋_GB2312"/>
          <w:sz w:val="32"/>
          <w:szCs w:val="32"/>
        </w:rPr>
        <w:t>第四章公开内容</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　第五条 中心预决算信息（涉密信息除外）公开内容包括：</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（一）单位职责、机构设置等情况。</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（二）预决算收支情况，包括一般公共预算收支情况、政府性基金预算收支情况等，涵盖财政拨款收支、非财政拨款收支情况。预决算支出公开到功能分类的项级科目，按规定公开到经济分类款级科目。</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三）“三公”经费财政拨款预决算总额和分项数额并对增减变化的原因进行说明。“公务用车购置和运行费”公开为“公务用车购置费”和“公务用车运行费”。“三公”经费决算公开说明因公出国（境）团组数及人数，公务用车购置数及保有量，国内公务接待的批次、人数、经费总额以及“三公”经费增减变化原因等情况。</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（四）政府采购信息，包括政府采购预算总额和分项数额等。</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（五）逐步公开预算绩效信息，在部门预算中公开预算绩效目标，在部门决算中公开重点支出项目的绩效评价结果。</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（六）逐步公开资产管理信息，包括占有使用国有资产的总体情况、分布构成、主要实物资产数据和资产变动情况，探索建立国有资产公开制度。</w:t>
      </w:r>
    </w:p>
    <w:p>
      <w:pPr>
        <w:spacing w:line="560" w:lineRule="exact"/>
        <w:jc w:val="center"/>
        <w:rPr>
          <w:rFonts w:ascii="仿宋_GB2312" w:eastAsia="仿宋_GB2312"/>
          <w:sz w:val="32"/>
          <w:szCs w:val="32"/>
        </w:rPr>
      </w:pPr>
      <w:r>
        <w:rPr>
          <w:rFonts w:hint="eastAsia" w:ascii="仿宋_GB2312" w:eastAsia="仿宋_GB2312"/>
          <w:sz w:val="32"/>
          <w:szCs w:val="32"/>
        </w:rPr>
        <w:t>第五章 公开方式、时间和</w:t>
      </w:r>
      <w:r>
        <w:rPr>
          <w:rFonts w:ascii="仿宋_GB2312" w:eastAsia="仿宋_GB2312"/>
          <w:sz w:val="32"/>
          <w:szCs w:val="32"/>
        </w:rPr>
        <w:t>程序</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第六条  预决算信息公开以政府及中心门户网站为主要平台，并保持长期公开状态。本中心设立预决算公开专栏，汇总集中公开信息，便于社会公众查询监督。本中心应当及时在本级政府的门户网站上公开。</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第七条</w:t>
      </w:r>
      <w:r>
        <w:rPr>
          <w:rFonts w:hint="eastAsia" w:ascii="仿宋_GB2312" w:eastAsia="仿宋_GB2312"/>
          <w:sz w:val="32"/>
          <w:szCs w:val="32"/>
          <w:lang w:val="en-US" w:eastAsia="zh-CN"/>
        </w:rPr>
        <w:t xml:space="preserve">  </w:t>
      </w:r>
      <w:r>
        <w:rPr>
          <w:rFonts w:hint="eastAsia" w:ascii="仿宋_GB2312" w:eastAsia="仿宋_GB2312"/>
          <w:sz w:val="32"/>
          <w:szCs w:val="32"/>
        </w:rPr>
        <w:t>经本级政府财政部门批复的部门预算、决算及报表，应当在批复后20日内由本部门公开。由中心</w:t>
      </w:r>
      <w:r>
        <w:rPr>
          <w:rFonts w:ascii="仿宋_GB2312" w:eastAsia="仿宋_GB2312"/>
          <w:sz w:val="32"/>
          <w:szCs w:val="32"/>
        </w:rPr>
        <w:t>办公室根据</w:t>
      </w:r>
      <w:r>
        <w:rPr>
          <w:rFonts w:hint="eastAsia" w:ascii="仿宋_GB2312" w:eastAsia="仿宋_GB2312"/>
          <w:sz w:val="32"/>
          <w:szCs w:val="32"/>
        </w:rPr>
        <w:t>省级</w:t>
      </w:r>
      <w:r>
        <w:rPr>
          <w:rFonts w:ascii="仿宋_GB2312" w:eastAsia="仿宋_GB2312"/>
          <w:sz w:val="32"/>
          <w:szCs w:val="32"/>
        </w:rPr>
        <w:t>财政部门</w:t>
      </w:r>
      <w:r>
        <w:rPr>
          <w:rFonts w:hint="eastAsia" w:ascii="仿宋_GB2312" w:eastAsia="仿宋_GB2312"/>
          <w:sz w:val="32"/>
          <w:szCs w:val="32"/>
        </w:rPr>
        <w:t>文件</w:t>
      </w:r>
      <w:r>
        <w:rPr>
          <w:rFonts w:ascii="仿宋_GB2312" w:eastAsia="仿宋_GB2312"/>
          <w:sz w:val="32"/>
          <w:szCs w:val="32"/>
        </w:rPr>
        <w:t>按规定</w:t>
      </w:r>
      <w:r>
        <w:rPr>
          <w:rFonts w:hint="eastAsia" w:ascii="仿宋_GB2312" w:eastAsia="仿宋_GB2312"/>
          <w:sz w:val="32"/>
          <w:szCs w:val="32"/>
        </w:rPr>
        <w:t>编制</w:t>
      </w:r>
      <w:r>
        <w:rPr>
          <w:rFonts w:ascii="仿宋_GB2312" w:eastAsia="仿宋_GB2312"/>
          <w:sz w:val="32"/>
          <w:szCs w:val="32"/>
        </w:rPr>
        <w:t>公开内容，</w:t>
      </w:r>
      <w:r>
        <w:rPr>
          <w:rFonts w:hint="eastAsia" w:ascii="仿宋_GB2312" w:eastAsia="仿宋_GB2312"/>
          <w:sz w:val="32"/>
          <w:szCs w:val="32"/>
        </w:rPr>
        <w:t>经</w:t>
      </w:r>
      <w:r>
        <w:rPr>
          <w:rFonts w:ascii="仿宋_GB2312" w:eastAsia="仿宋_GB2312"/>
          <w:sz w:val="32"/>
          <w:szCs w:val="32"/>
        </w:rPr>
        <w:t>保密</w:t>
      </w:r>
      <w:r>
        <w:rPr>
          <w:rFonts w:hint="eastAsia" w:ascii="仿宋_GB2312" w:eastAsia="仿宋_GB2312"/>
          <w:sz w:val="32"/>
          <w:szCs w:val="32"/>
        </w:rPr>
        <w:t>审查后分别</w:t>
      </w:r>
      <w:r>
        <w:rPr>
          <w:rFonts w:ascii="仿宋_GB2312" w:eastAsia="仿宋_GB2312"/>
          <w:sz w:val="32"/>
          <w:szCs w:val="32"/>
        </w:rPr>
        <w:t>提供省政府及</w:t>
      </w:r>
      <w:r>
        <w:rPr>
          <w:rFonts w:hint="eastAsia" w:ascii="仿宋_GB2312" w:eastAsia="仿宋_GB2312"/>
          <w:sz w:val="32"/>
          <w:szCs w:val="32"/>
        </w:rPr>
        <w:t>本中心网站</w:t>
      </w:r>
      <w:r>
        <w:rPr>
          <w:rFonts w:ascii="仿宋_GB2312" w:eastAsia="仿宋_GB2312"/>
          <w:sz w:val="32"/>
          <w:szCs w:val="32"/>
        </w:rPr>
        <w:t>维护人员上传。</w:t>
      </w:r>
    </w:p>
    <w:p>
      <w:pPr>
        <w:spacing w:line="560" w:lineRule="exact"/>
        <w:jc w:val="center"/>
        <w:rPr>
          <w:rFonts w:ascii="仿宋_GB2312" w:eastAsia="仿宋_GB2312"/>
          <w:sz w:val="32"/>
          <w:szCs w:val="32"/>
        </w:rPr>
      </w:pPr>
      <w:r>
        <w:rPr>
          <w:rFonts w:hint="eastAsia" w:ascii="仿宋_GB2312" w:eastAsia="仿宋_GB2312"/>
          <w:sz w:val="32"/>
          <w:szCs w:val="32"/>
        </w:rPr>
        <w:t>第六章 监督管理</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 xml:space="preserve">第八条 </w:t>
      </w:r>
      <w:r>
        <w:rPr>
          <w:rFonts w:hint="eastAsia" w:ascii="仿宋_GB2312" w:eastAsia="仿宋_GB2312"/>
          <w:sz w:val="32"/>
          <w:szCs w:val="32"/>
          <w:lang w:val="en-US" w:eastAsia="zh-CN"/>
        </w:rPr>
        <w:t xml:space="preserve"> </w:t>
      </w:r>
      <w:r>
        <w:rPr>
          <w:rFonts w:hint="eastAsia" w:ascii="仿宋_GB2312" w:eastAsia="仿宋_GB2312"/>
          <w:sz w:val="32"/>
          <w:szCs w:val="32"/>
        </w:rPr>
        <w:t>本中心要加强对预决算信息公开工作的组织领导，按照方向明确、过程可控、结果可查、便于监督的原则，建立健全定期考核机制，加大预决算信息公开考核力度，主动公开预决算信息。</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本中心应当严格按照《中华人民共和国保密法》以及其他法律法规和有关规定，做好定密、解密工作。按照《国务院办公厅关于施行&lt;中华人民共和国政府信息公开条例&gt;若干问题的意见》（国办发</w:t>
      </w:r>
      <w:r>
        <w:rPr>
          <w:rFonts w:hint="eastAsia" w:ascii="微软雅黑" w:hAnsi="微软雅黑" w:eastAsia="微软雅黑" w:cs="微软雅黑"/>
          <w:sz w:val="32"/>
          <w:szCs w:val="32"/>
        </w:rPr>
        <w:t>﹝</w:t>
      </w:r>
      <w:r>
        <w:rPr>
          <w:rFonts w:hint="eastAsia" w:ascii="仿宋_GB2312" w:eastAsia="仿宋_GB2312"/>
          <w:sz w:val="32"/>
          <w:szCs w:val="32"/>
        </w:rPr>
        <w:t>2008</w:t>
      </w:r>
      <w:r>
        <w:rPr>
          <w:rFonts w:hint="eastAsia" w:ascii="微软雅黑" w:hAnsi="微软雅黑" w:eastAsia="微软雅黑" w:cs="微软雅黑"/>
          <w:sz w:val="32"/>
          <w:szCs w:val="32"/>
        </w:rPr>
        <w:t>﹞</w:t>
      </w:r>
      <w:r>
        <w:rPr>
          <w:rFonts w:hint="eastAsia" w:ascii="仿宋_GB2312" w:eastAsia="仿宋_GB2312"/>
          <w:sz w:val="32"/>
          <w:szCs w:val="32"/>
        </w:rPr>
        <w:t>36号）、《国务院办公厅关于进一步做好政府信息公开保密审查工作的通知》（国办发</w:t>
      </w:r>
      <w:r>
        <w:rPr>
          <w:rFonts w:hint="eastAsia" w:ascii="微软雅黑" w:hAnsi="微软雅黑" w:eastAsia="微软雅黑" w:cs="微软雅黑"/>
          <w:sz w:val="32"/>
          <w:szCs w:val="32"/>
        </w:rPr>
        <w:t>﹝</w:t>
      </w:r>
      <w:r>
        <w:rPr>
          <w:rFonts w:hint="eastAsia" w:ascii="仿宋_GB2312" w:eastAsia="仿宋_GB2312"/>
          <w:sz w:val="32"/>
          <w:szCs w:val="32"/>
        </w:rPr>
        <w:t>2010</w:t>
      </w:r>
      <w:r>
        <w:rPr>
          <w:rFonts w:hint="eastAsia" w:ascii="微软雅黑" w:hAnsi="微软雅黑" w:eastAsia="微软雅黑" w:cs="微软雅黑"/>
          <w:sz w:val="32"/>
          <w:szCs w:val="32"/>
        </w:rPr>
        <w:t>﹞</w:t>
      </w:r>
      <w:r>
        <w:rPr>
          <w:rFonts w:hint="eastAsia" w:ascii="仿宋_GB2312" w:eastAsia="仿宋_GB2312"/>
          <w:sz w:val="32"/>
          <w:szCs w:val="32"/>
        </w:rPr>
        <w:t>57号）要求</w:t>
      </w:r>
      <w:r>
        <w:rPr>
          <w:rFonts w:ascii="仿宋_GB2312" w:eastAsia="仿宋_GB2312"/>
          <w:sz w:val="32"/>
          <w:szCs w:val="32"/>
        </w:rPr>
        <w:t>，</w:t>
      </w:r>
      <w:r>
        <w:rPr>
          <w:rFonts w:hint="eastAsia" w:ascii="仿宋_GB2312" w:eastAsia="仿宋_GB2312"/>
          <w:sz w:val="32"/>
          <w:szCs w:val="32"/>
        </w:rPr>
        <w:t>做好信息公开的保密审查工作，确保审查程序规范，审查责任明确。</w:t>
      </w:r>
    </w:p>
    <w:p>
      <w:pPr>
        <w:spacing w:line="560" w:lineRule="exact"/>
        <w:ind w:firstLine="646" w:firstLineChars="200"/>
        <w:rPr>
          <w:rFonts w:ascii="仿宋_GB2312" w:eastAsia="仿宋_GB2312"/>
          <w:sz w:val="32"/>
          <w:szCs w:val="32"/>
        </w:rPr>
      </w:pPr>
      <w:r>
        <w:rPr>
          <w:rFonts w:hint="eastAsia" w:ascii="仿宋_GB2312" w:eastAsia="仿宋_GB2312"/>
          <w:sz w:val="32"/>
          <w:szCs w:val="32"/>
        </w:rPr>
        <w:t>第十条  本中心要做好预决算信息依申请公开工作，主动回应社会普遍关注的情况，及时解疑释惑，避免社会公众误解，密切关注工作中反映的问题，认真研究整改。</w:t>
      </w:r>
    </w:p>
    <w:p>
      <w:pPr>
        <w:spacing w:line="560" w:lineRule="exact"/>
        <w:jc w:val="center"/>
        <w:rPr>
          <w:rFonts w:ascii="仿宋_GB2312" w:eastAsia="仿宋_GB2312"/>
          <w:sz w:val="32"/>
          <w:szCs w:val="32"/>
        </w:rPr>
      </w:pPr>
      <w:r>
        <w:rPr>
          <w:rFonts w:hint="eastAsia" w:ascii="仿宋_GB2312" w:eastAsia="仿宋_GB2312"/>
          <w:sz w:val="32"/>
          <w:szCs w:val="32"/>
        </w:rPr>
        <w:t>第七章附则</w:t>
      </w:r>
    </w:p>
    <w:p>
      <w:pPr>
        <w:spacing w:line="560" w:lineRule="exact"/>
        <w:rPr>
          <w:rFonts w:hint="eastAsia" w:ascii="仿宋_GB2312" w:eastAsia="仿宋_GB2312"/>
          <w:sz w:val="32"/>
          <w:szCs w:val="32"/>
          <w:lang w:eastAsia="zh-CN"/>
        </w:rPr>
      </w:pPr>
      <w:r>
        <w:rPr>
          <w:rFonts w:hint="eastAsia" w:ascii="仿宋_GB2312" w:eastAsia="仿宋_GB2312"/>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本办法自印发之日起实行</w:t>
      </w:r>
      <w:r>
        <w:rPr>
          <w:rFonts w:hint="eastAsia" w:ascii="仿宋_GB2312" w:eastAsia="仿宋_GB2312"/>
          <w:sz w:val="32"/>
          <w:szCs w:val="32"/>
          <w:lang w:eastAsia="zh-CN"/>
        </w:rPr>
        <w:t>。</w:t>
      </w: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辽宁省互联网技术支撑中心</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pPr>
        <w:spacing w:line="540" w:lineRule="exact"/>
        <w:ind w:firstLine="646" w:firstLineChars="200"/>
        <w:rPr>
          <w:rFonts w:hint="eastAsia" w:ascii="仿宋_GB2312" w:eastAsia="仿宋_GB2312"/>
          <w:sz w:val="32"/>
          <w:szCs w:val="32"/>
          <w:lang w:eastAsia="zh-CN"/>
        </w:rPr>
      </w:pPr>
      <w:r>
        <w:rPr>
          <w:rFonts w:hint="eastAsia" w:ascii="仿宋_GB2312" w:hAnsi="Times New Roman" w:eastAsia="仿宋_GB2312" w:cs="Times New Roman"/>
          <w:sz w:val="32"/>
          <w:szCs w:val="32"/>
          <w:lang w:eastAsia="zh-CN"/>
        </w:rPr>
        <w:t>负责为我省互联网管理和建设提供相关技术支撑和服务等工作。</w:t>
      </w:r>
    </w:p>
    <w:p>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b/>
          <w:sz w:val="32"/>
          <w:szCs w:val="32"/>
          <w:lang w:eastAsia="zh-CN"/>
        </w:rPr>
        <w:t>纳入</w:t>
      </w:r>
      <w:r>
        <w:rPr>
          <w:rFonts w:hint="eastAsia" w:ascii="仿宋_GB2312" w:eastAsia="仿宋_GB2312"/>
          <w:b/>
          <w:sz w:val="32"/>
          <w:szCs w:val="32"/>
        </w:rPr>
        <w:t>辽宁省互联网技术支撑中心</w:t>
      </w:r>
      <w:r>
        <w:rPr>
          <w:rFonts w:hint="eastAsia" w:ascii="仿宋_GB2312" w:eastAsia="仿宋_GB2312"/>
          <w:b/>
          <w:sz w:val="32"/>
          <w:szCs w:val="32"/>
          <w:lang w:eastAsia="zh-CN"/>
        </w:rPr>
        <w:t>2023</w:t>
      </w:r>
      <w:r>
        <w:rPr>
          <w:rFonts w:hint="eastAsia" w:ascii="仿宋_GB2312" w:eastAsia="仿宋_GB2312"/>
          <w:b/>
          <w:sz w:val="32"/>
          <w:szCs w:val="32"/>
        </w:rPr>
        <w:t>年部门预算编制范围</w:t>
      </w:r>
      <w:bookmarkStart w:id="0" w:name="_GoBack"/>
      <w:bookmarkEnd w:id="0"/>
      <w:r>
        <w:rPr>
          <w:rFonts w:hint="eastAsia" w:ascii="仿宋_GB2312" w:eastAsia="仿宋_GB2312"/>
          <w:b/>
          <w:sz w:val="32"/>
          <w:szCs w:val="32"/>
          <w:lang w:eastAsia="zh-CN"/>
        </w:rPr>
        <w:t>的</w:t>
      </w:r>
      <w:r>
        <w:rPr>
          <w:rFonts w:hint="eastAsia" w:ascii="仿宋_GB2312" w:eastAsia="仿宋_GB2312"/>
          <w:b/>
          <w:sz w:val="32"/>
          <w:szCs w:val="32"/>
        </w:rPr>
        <w:t>预算单位</w:t>
      </w:r>
      <w:r>
        <w:rPr>
          <w:rFonts w:hint="eastAsia" w:ascii="仿宋_GB2312" w:eastAsia="仿宋_GB2312"/>
          <w:b/>
          <w:sz w:val="32"/>
          <w:szCs w:val="32"/>
          <w:lang w:eastAsia="zh-CN"/>
        </w:rPr>
        <w:t>包括：</w:t>
      </w:r>
    </w:p>
    <w:p>
      <w:pPr>
        <w:pStyle w:val="2"/>
        <w:rPr>
          <w:rFonts w:hint="default"/>
          <w:lang w:val="en-US" w:eastAsia="zh-CN"/>
        </w:rPr>
      </w:pPr>
      <w:r>
        <w:rPr>
          <w:rFonts w:hint="eastAsia" w:ascii="仿宋_GB2312" w:eastAsia="仿宋_GB2312"/>
          <w:sz w:val="32"/>
          <w:szCs w:val="32"/>
          <w:lang w:val="en-US" w:eastAsia="zh-CN"/>
        </w:rPr>
        <w:t xml:space="preserve">     辽宁省互联网技术支撑中心本级</w:t>
      </w:r>
    </w:p>
    <w:p>
      <w:pPr>
        <w:spacing w:line="560" w:lineRule="exact"/>
        <w:jc w:val="both"/>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辽宁省互联网技术支撑中心</w:t>
      </w:r>
      <w:r>
        <w:rPr>
          <w:rFonts w:hint="eastAsia" w:ascii="宋体" w:hAnsi="宋体"/>
          <w:b/>
          <w:sz w:val="36"/>
          <w:szCs w:val="36"/>
          <w:lang w:val="en-US" w:eastAsia="zh-CN"/>
        </w:rPr>
        <w:t>2023</w:t>
      </w:r>
      <w:r>
        <w:rPr>
          <w:rFonts w:hint="eastAsia" w:ascii="宋体" w:hAnsi="宋体"/>
          <w:b/>
          <w:sz w:val="36"/>
          <w:szCs w:val="36"/>
        </w:rPr>
        <w:t>年部门预算情况说明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956.17</w:t>
      </w:r>
      <w:r>
        <w:rPr>
          <w:rFonts w:hint="eastAsia" w:ascii="楷体" w:hAnsi="楷体" w:eastAsia="楷体"/>
          <w:b/>
          <w:sz w:val="32"/>
          <w:szCs w:val="32"/>
        </w:rPr>
        <w:t>万元，</w:t>
      </w:r>
      <w:r>
        <w:rPr>
          <w:rFonts w:hint="eastAsia" w:ascii="仿宋_GB2312" w:hAnsi="宋体" w:eastAsia="仿宋_GB2312"/>
          <w:sz w:val="32"/>
          <w:szCs w:val="32"/>
        </w:rPr>
        <w:t>其中：</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w:t>
      </w:r>
      <w:r>
        <w:rPr>
          <w:rFonts w:hint="eastAsia" w:ascii="仿宋_GB2312" w:hAnsi="宋体" w:eastAsia="仿宋_GB2312"/>
          <w:sz w:val="32"/>
          <w:szCs w:val="32"/>
          <w:lang w:val="en-US" w:eastAsia="zh-CN"/>
        </w:rPr>
        <w:t>725.28</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lang w:val="en-US" w:eastAsia="zh-CN"/>
        </w:rPr>
        <w:t>230.89</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lang w:val="en-US" w:eastAsia="zh-CN"/>
        </w:rPr>
        <w:t>230.89</w:t>
      </w:r>
      <w:r>
        <w:rPr>
          <w:rFonts w:hint="eastAsia" w:ascii="仿宋_GB2312" w:eastAsia="仿宋_GB2312" w:cs="仿宋_GB2312"/>
          <w:sz w:val="32"/>
          <w:szCs w:val="32"/>
        </w:rPr>
        <w:t>万元，上级补助收入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万元，其他收入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w:t>
      </w:r>
    </w:p>
    <w:p>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lang w:val="en-US" w:eastAsia="zh-CN"/>
        </w:rPr>
        <w:t>0万</w:t>
      </w:r>
      <w:r>
        <w:rPr>
          <w:rFonts w:hint="eastAsia" w:ascii="仿宋_GB2312" w:eastAsia="仿宋_GB2312"/>
          <w:sz w:val="32"/>
          <w:szCs w:val="32"/>
        </w:rPr>
        <w:t>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w:t>
      </w:r>
      <w:r>
        <w:rPr>
          <w:rFonts w:hint="eastAsia" w:ascii="仿宋_GB2312" w:hAnsi="仿宋_GB2312" w:eastAsia="仿宋_GB2312" w:cs="仿宋_GB2312"/>
          <w:sz w:val="32"/>
          <w:szCs w:val="32"/>
        </w:rPr>
        <w:t>。</w:t>
      </w:r>
    </w:p>
    <w:p>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956.17</w:t>
      </w:r>
      <w:r>
        <w:rPr>
          <w:rFonts w:hint="eastAsia" w:ascii="楷体" w:hAnsi="楷体" w:eastAsia="楷体"/>
          <w:b/>
          <w:sz w:val="32"/>
          <w:szCs w:val="32"/>
        </w:rPr>
        <w:t>万元，</w:t>
      </w:r>
      <w:r>
        <w:rPr>
          <w:rFonts w:hint="eastAsia" w:ascii="仿宋_GB2312" w:hAnsi="宋体" w:eastAsia="仿宋_GB2312"/>
          <w:sz w:val="32"/>
          <w:szCs w:val="32"/>
        </w:rPr>
        <w:t>其中：</w:t>
      </w:r>
    </w:p>
    <w:p>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lang w:val="en-US" w:eastAsia="zh-CN"/>
        </w:rPr>
        <w:t>399.69</w:t>
      </w:r>
      <w:r>
        <w:rPr>
          <w:rFonts w:hint="eastAsia" w:ascii="仿宋_GB2312" w:hAnsi="宋体" w:eastAsia="仿宋_GB2312"/>
          <w:sz w:val="32"/>
          <w:szCs w:val="32"/>
        </w:rPr>
        <w:t>万元</w:t>
      </w:r>
      <w:r>
        <w:rPr>
          <w:rFonts w:hint="eastAsia" w:ascii="仿宋_GB2312" w:eastAsia="仿宋_GB2312"/>
          <w:sz w:val="32"/>
          <w:szCs w:val="32"/>
        </w:rPr>
        <w:t>；</w:t>
      </w:r>
    </w:p>
    <w:p>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lang w:val="en-US" w:eastAsia="zh-CN"/>
        </w:rPr>
        <w:t>556.48</w:t>
      </w:r>
      <w:r>
        <w:rPr>
          <w:rFonts w:hint="eastAsia" w:ascii="仿宋_GB2312" w:eastAsia="仿宋_GB2312"/>
          <w:sz w:val="32"/>
          <w:szCs w:val="32"/>
        </w:rPr>
        <w:t>万元。</w:t>
      </w:r>
    </w:p>
    <w:p>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万元；政府采购支出</w:t>
      </w:r>
    </w:p>
    <w:p>
      <w:pPr>
        <w:spacing w:line="560" w:lineRule="exact"/>
        <w:rPr>
          <w:rFonts w:ascii="仿宋_GB2312" w:eastAsia="仿宋_GB2312" w:cs="仿宋_GB2312"/>
          <w:sz w:val="32"/>
          <w:szCs w:val="32"/>
        </w:rPr>
      </w:pPr>
      <w:r>
        <w:rPr>
          <w:rFonts w:hint="eastAsia" w:ascii="仿宋_GB2312" w:hAnsi="宋体" w:eastAsia="仿宋_GB2312"/>
          <w:sz w:val="32"/>
          <w:szCs w:val="32"/>
          <w:lang w:val="en-US" w:eastAsia="zh-CN"/>
        </w:rPr>
        <w:t>116.48</w:t>
      </w:r>
      <w:r>
        <w:rPr>
          <w:rFonts w:hint="eastAsia" w:ascii="仿宋_GB2312" w:eastAsia="仿宋_GB2312" w:cs="仿宋_GB2312"/>
          <w:sz w:val="32"/>
          <w:szCs w:val="32"/>
        </w:rPr>
        <w:t>万元；政府购买服务支出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万元；纳入预算绩效管理的特定目标类项目共</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个，涉及资金</w:t>
      </w:r>
      <w:r>
        <w:rPr>
          <w:rFonts w:hint="eastAsia" w:ascii="仿宋_GB2312" w:hAnsi="宋体" w:eastAsia="仿宋_GB2312"/>
          <w:sz w:val="32"/>
          <w:szCs w:val="32"/>
          <w:lang w:val="en-US" w:eastAsia="zh-CN"/>
        </w:rPr>
        <w:t>0</w:t>
      </w:r>
      <w:r>
        <w:rPr>
          <w:rFonts w:hint="eastAsia" w:ascii="仿宋_GB2312" w:eastAsia="仿宋_GB2312" w:cs="仿宋_GB2312"/>
          <w:sz w:val="32"/>
          <w:szCs w:val="32"/>
        </w:rPr>
        <w:t xml:space="preserve">万元。 </w:t>
      </w:r>
    </w:p>
    <w:p>
      <w:pPr>
        <w:spacing w:line="560" w:lineRule="exact"/>
        <w:ind w:firstLine="646" w:firstLineChars="200"/>
        <w:rPr>
          <w:rFonts w:ascii="黑体" w:hAnsi="黑体" w:eastAsia="黑体"/>
          <w:sz w:val="32"/>
          <w:szCs w:val="32"/>
        </w:rPr>
      </w:pPr>
      <w:r>
        <w:rPr>
          <w:rFonts w:hint="eastAsia" w:ascii="黑体" w:hAnsi="黑体" w:eastAsia="黑体"/>
          <w:sz w:val="32"/>
          <w:szCs w:val="32"/>
          <w:lang w:val="en-US" w:eastAsia="zh-CN"/>
        </w:rPr>
        <w:t>2023</w:t>
      </w:r>
      <w:r>
        <w:rPr>
          <w:rFonts w:hint="eastAsia" w:ascii="黑体" w:hAnsi="黑体" w:eastAsia="黑体"/>
          <w:sz w:val="32"/>
          <w:szCs w:val="32"/>
        </w:rPr>
        <w:t>年预算收支比</w:t>
      </w:r>
      <w:r>
        <w:rPr>
          <w:rFonts w:hint="eastAsia" w:ascii="黑体" w:hAnsi="黑体" w:eastAsia="黑体"/>
          <w:sz w:val="32"/>
          <w:szCs w:val="32"/>
          <w:lang w:eastAsia="zh-CN"/>
        </w:rPr>
        <w:t>上</w:t>
      </w:r>
      <w:r>
        <w:rPr>
          <w:rFonts w:hint="eastAsia" w:ascii="黑体" w:hAnsi="黑体" w:eastAsia="黑体"/>
          <w:sz w:val="32"/>
          <w:szCs w:val="32"/>
        </w:rPr>
        <w:t>年</w:t>
      </w:r>
      <w:r>
        <w:rPr>
          <w:rFonts w:hint="eastAsia" w:ascii="黑体" w:hAnsi="黑体" w:eastAsia="黑体"/>
          <w:sz w:val="32"/>
          <w:szCs w:val="32"/>
          <w:lang w:eastAsia="zh-CN"/>
        </w:rPr>
        <w:t>减少</w:t>
      </w:r>
      <w:r>
        <w:rPr>
          <w:rFonts w:hint="eastAsia" w:ascii="黑体" w:hAnsi="黑体" w:eastAsia="黑体"/>
          <w:sz w:val="32"/>
          <w:szCs w:val="32"/>
          <w:lang w:val="en-US" w:eastAsia="zh-CN"/>
        </w:rPr>
        <w:t>3,740.24</w:t>
      </w:r>
      <w:r>
        <w:rPr>
          <w:rFonts w:hint="eastAsia" w:ascii="黑体" w:hAnsi="黑体" w:eastAsia="黑体"/>
          <w:sz w:val="32"/>
          <w:szCs w:val="32"/>
        </w:rPr>
        <w:t>万元，</w:t>
      </w:r>
      <w:r>
        <w:rPr>
          <w:rFonts w:hint="eastAsia" w:ascii="黑体" w:hAnsi="黑体" w:eastAsia="黑体"/>
          <w:sz w:val="32"/>
          <w:szCs w:val="32"/>
          <w:lang w:eastAsia="zh-CN"/>
        </w:rPr>
        <w:t>减少</w:t>
      </w:r>
      <w:r>
        <w:rPr>
          <w:rFonts w:hint="eastAsia" w:ascii="黑体" w:hAnsi="黑体" w:eastAsia="黑体"/>
          <w:sz w:val="32"/>
          <w:szCs w:val="32"/>
        </w:rPr>
        <w:t>的主要原因为</w:t>
      </w:r>
      <w:r>
        <w:rPr>
          <w:rFonts w:hint="eastAsia" w:ascii="黑体" w:hAnsi="黑体" w:eastAsia="黑体"/>
          <w:sz w:val="32"/>
          <w:szCs w:val="32"/>
          <w:lang w:val="en-US" w:eastAsia="zh-CN"/>
        </w:rPr>
        <w:t>沈阳国家级骨干直联点质量监测系统扩容和升级项目执行完毕</w:t>
      </w:r>
      <w:r>
        <w:rPr>
          <w:rFonts w:hint="eastAsia" w:ascii="黑体" w:hAnsi="黑体" w:eastAsia="黑体"/>
          <w:sz w:val="32"/>
          <w:szCs w:val="32"/>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2023</w:t>
      </w:r>
      <w:r>
        <w:rPr>
          <w:rFonts w:hint="eastAsia" w:ascii="仿宋_GB2312" w:hAnsi="宋体" w:eastAsia="仿宋_GB2312"/>
          <w:sz w:val="32"/>
          <w:szCs w:val="32"/>
        </w:rPr>
        <w:t>年</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万元，无机关运行经费的原因为</w:t>
      </w:r>
      <w:r>
        <w:rPr>
          <w:rFonts w:ascii="仿宋_GB2312" w:hAnsi="宋体" w:eastAsia="仿宋_GB2312"/>
          <w:sz w:val="32"/>
          <w:szCs w:val="32"/>
        </w:rPr>
        <w:t>我中心</w:t>
      </w:r>
      <w:r>
        <w:rPr>
          <w:rFonts w:hint="eastAsia" w:ascii="仿宋_GB2312" w:hAnsi="宋体" w:eastAsia="仿宋_GB2312"/>
          <w:sz w:val="32"/>
          <w:szCs w:val="32"/>
        </w:rPr>
        <w:t>为</w:t>
      </w:r>
      <w:r>
        <w:rPr>
          <w:rFonts w:ascii="仿宋_GB2312" w:hAnsi="宋体" w:eastAsia="仿宋_GB2312"/>
          <w:sz w:val="32"/>
          <w:szCs w:val="32"/>
        </w:rPr>
        <w:t>全额拨款事业单位,</w:t>
      </w:r>
      <w:r>
        <w:rPr>
          <w:rFonts w:hint="eastAsia" w:ascii="仿宋_GB2312" w:hAnsi="宋体" w:eastAsia="仿宋_GB2312"/>
          <w:sz w:val="32"/>
          <w:szCs w:val="32"/>
        </w:rPr>
        <w:t>非行政</w:t>
      </w:r>
      <w:r>
        <w:rPr>
          <w:rFonts w:ascii="仿宋_GB2312" w:hAnsi="宋体" w:eastAsia="仿宋_GB2312"/>
          <w:sz w:val="32"/>
          <w:szCs w:val="32"/>
        </w:rPr>
        <w:t>机关及参公单位</w:t>
      </w:r>
      <w:r>
        <w:rPr>
          <w:rFonts w:hint="eastAsia" w:ascii="仿宋_GB2312" w:hAnsi="宋体"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2023年辽宁省互联网技术支撑中心安排政府采购预算</w:t>
      </w:r>
      <w:r>
        <w:rPr>
          <w:rFonts w:hint="eastAsia" w:ascii="仿宋_GB2312" w:hAnsi="宋体" w:eastAsia="仿宋_GB2312"/>
          <w:sz w:val="32"/>
          <w:szCs w:val="32"/>
          <w:lang w:val="en-US" w:eastAsia="zh-CN"/>
        </w:rPr>
        <w:t>116.48</w:t>
      </w:r>
      <w:r>
        <w:rPr>
          <w:rFonts w:hint="eastAsia" w:ascii="仿宋_GB2312" w:hAnsi="仿宋_GB2312" w:eastAsia="仿宋_GB2312" w:cs="仿宋_GB2312"/>
          <w:sz w:val="32"/>
          <w:szCs w:val="32"/>
          <w:lang w:val="en-US" w:eastAsia="zh-CN"/>
        </w:rPr>
        <w:t>万元。具体为货物100.46万元，服务</w:t>
      </w:r>
      <w:r>
        <w:rPr>
          <w:rFonts w:hint="eastAsia" w:ascii="仿宋_GB2312" w:hAnsi="宋体" w:eastAsia="仿宋_GB2312"/>
          <w:sz w:val="32"/>
          <w:szCs w:val="32"/>
          <w:lang w:val="en-US" w:eastAsia="zh-CN"/>
        </w:rPr>
        <w:t>16.02</w:t>
      </w:r>
      <w:r>
        <w:rPr>
          <w:rFonts w:hint="eastAsia" w:ascii="仿宋_GB2312" w:hAnsi="仿宋_GB2312" w:eastAsia="仿宋_GB2312" w:cs="仿宋_GB2312"/>
          <w:sz w:val="32"/>
          <w:szCs w:val="32"/>
          <w:lang w:val="en-US" w:eastAsia="zh-CN"/>
        </w:rPr>
        <w:t>万元，工程0万元；预留专门面向中小企业采购份额0万元，其中预留给小微企业0万元。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eastAsia="zh-CN"/>
        </w:rPr>
        <w:t>辽宁省互联网技术支撑中心财政拨款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0.37</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2.63</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1.因公出国（境）费0万元。与上年相比无变化。</w:t>
      </w:r>
    </w:p>
    <w:p>
      <w:pPr>
        <w:spacing w:line="560" w:lineRule="exact"/>
        <w:ind w:firstLine="660"/>
        <w:rPr>
          <w:rFonts w:ascii="仿宋_GB2312" w:eastAsia="仿宋_GB2312"/>
          <w:sz w:val="32"/>
          <w:szCs w:val="32"/>
        </w:rPr>
      </w:pPr>
      <w:r>
        <w:rPr>
          <w:rFonts w:hint="eastAsia" w:ascii="仿宋_GB2312" w:eastAsia="仿宋_GB2312"/>
          <w:sz w:val="32"/>
          <w:szCs w:val="32"/>
        </w:rPr>
        <w:t>2.公务接待费0.3</w:t>
      </w:r>
      <w:r>
        <w:rPr>
          <w:rFonts w:hint="eastAsia" w:ascii="仿宋_GB2312" w:eastAsia="仿宋_GB2312"/>
          <w:sz w:val="32"/>
          <w:szCs w:val="32"/>
          <w:lang w:val="en-US" w:eastAsia="zh-CN"/>
        </w:rPr>
        <w:t>7</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年减少0.01万元，下降2.</w:t>
      </w:r>
      <w:r>
        <w:rPr>
          <w:rFonts w:hint="eastAsia" w:ascii="仿宋_GB2312" w:eastAsia="仿宋_GB2312"/>
          <w:sz w:val="32"/>
          <w:szCs w:val="32"/>
          <w:lang w:val="en-US" w:eastAsia="zh-CN"/>
        </w:rPr>
        <w:t>63</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3.公务用车购置及运行费0万元。与上年相比无变化。</w:t>
      </w:r>
    </w:p>
    <w:p>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2022</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2023</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0.38</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0.37</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0.38</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0.37</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仿宋_GB2312" w:hAnsi="宋体" w:eastAsia="仿宋_GB2312"/>
          <w:sz w:val="32"/>
          <w:szCs w:val="32"/>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辽宁省互联网技术支撑中心</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个，编制部门（单位）整体绩效目标覆盖率（实际编制绩效目标的数量/应编制绩效目标的数量）为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lang w:val="en-US" w:eastAsia="zh-CN"/>
        </w:rPr>
        <w:t>2023</w:t>
      </w:r>
      <w:r>
        <w:rPr>
          <w:rFonts w:hint="eastAsia" w:ascii="仿宋_GB2312" w:hAnsi="宋体" w:eastAsia="仿宋_GB2312"/>
          <w:sz w:val="32"/>
          <w:szCs w:val="32"/>
        </w:rPr>
        <w:t>年应编制绩效目标的特定目标类项目共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个，实际编制绩效目标的特定目标类项目共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万元，编制特定目标类绩效目标的项目覆盖率（实际编制绩效目标的数量/应编制绩效目标的数量）为</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60" w:lineRule="exact"/>
        <w:jc w:val="both"/>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 xml:space="preserve">  </w:t>
      </w: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7.社会保障和就业</w:t>
      </w:r>
      <w:r>
        <w:rPr>
          <w:rFonts w:hint="eastAsia" w:ascii="仿宋_GB2312" w:eastAsia="仿宋_GB2312"/>
          <w:b/>
          <w:sz w:val="32"/>
          <w:szCs w:val="32"/>
          <w:lang w:eastAsia="zh-CN"/>
        </w:rPr>
        <w:t>支出</w:t>
      </w:r>
      <w:r>
        <w:rPr>
          <w:rFonts w:hint="eastAsia" w:ascii="仿宋_GB2312" w:eastAsia="仿宋_GB2312"/>
          <w:b/>
          <w:sz w:val="32"/>
          <w:szCs w:val="32"/>
        </w:rPr>
        <w:t>（类）行政事业单位</w:t>
      </w:r>
      <w:r>
        <w:rPr>
          <w:rFonts w:hint="eastAsia" w:ascii="仿宋_GB2312" w:eastAsia="仿宋_GB2312"/>
          <w:b/>
          <w:sz w:val="32"/>
          <w:szCs w:val="32"/>
          <w:lang w:eastAsia="zh-CN"/>
        </w:rPr>
        <w:t>养老支出</w:t>
      </w:r>
      <w:r>
        <w:rPr>
          <w:rFonts w:hint="eastAsia" w:ascii="仿宋_GB2312" w:eastAsia="仿宋_GB2312"/>
          <w:b/>
          <w:sz w:val="32"/>
          <w:szCs w:val="32"/>
        </w:rPr>
        <w:t>（款）</w:t>
      </w:r>
      <w:r>
        <w:rPr>
          <w:rFonts w:hint="eastAsia" w:ascii="仿宋_GB2312" w:eastAsia="仿宋_GB2312"/>
          <w:b/>
          <w:sz w:val="32"/>
          <w:szCs w:val="32"/>
          <w:lang w:eastAsia="zh-CN"/>
        </w:rPr>
        <w:t>机关事业单位基本养老保险缴费支出</w:t>
      </w:r>
      <w:r>
        <w:rPr>
          <w:rFonts w:hint="eastAsia" w:ascii="仿宋_GB2312" w:eastAsia="仿宋_GB2312"/>
          <w:b/>
          <w:sz w:val="32"/>
          <w:szCs w:val="32"/>
        </w:rPr>
        <w:t>（项）：</w:t>
      </w:r>
      <w:r>
        <w:rPr>
          <w:rFonts w:hint="eastAsia" w:ascii="仿宋_GB2312" w:eastAsia="仿宋_GB2312"/>
          <w:sz w:val="32"/>
          <w:szCs w:val="32"/>
        </w:rPr>
        <w:t>反映行政事业单位按人力资源和社会保障部、财政部规定的基本工资和津贴补贴以及规定比例为职工缴纳的</w:t>
      </w:r>
      <w:r>
        <w:rPr>
          <w:rFonts w:hint="eastAsia" w:ascii="仿宋_GB2312" w:eastAsia="仿宋_GB2312"/>
          <w:sz w:val="32"/>
          <w:szCs w:val="32"/>
          <w:lang w:eastAsia="zh-CN"/>
        </w:rPr>
        <w:t>养老保险</w:t>
      </w:r>
      <w:r>
        <w:rPr>
          <w:rFonts w:hint="eastAsia" w:ascii="仿宋_GB2312" w:eastAsia="仿宋_GB2312"/>
          <w:sz w:val="32"/>
          <w:szCs w:val="32"/>
        </w:rPr>
        <w:t>。</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w:t>
      </w:r>
      <w:r>
        <w:rPr>
          <w:rFonts w:hint="eastAsia" w:ascii="仿宋_GB2312" w:eastAsia="仿宋_GB2312"/>
          <w:b/>
          <w:sz w:val="32"/>
          <w:szCs w:val="32"/>
          <w:lang w:eastAsia="zh-CN"/>
        </w:rPr>
        <w:t>卫生健康支出</w:t>
      </w:r>
      <w:r>
        <w:rPr>
          <w:rFonts w:hint="eastAsia" w:ascii="仿宋_GB2312" w:eastAsia="仿宋_GB2312"/>
          <w:b/>
          <w:sz w:val="32"/>
          <w:szCs w:val="32"/>
        </w:rPr>
        <w:t>（类）</w:t>
      </w:r>
      <w:r>
        <w:rPr>
          <w:rFonts w:hint="eastAsia" w:ascii="仿宋_GB2312" w:eastAsia="仿宋_GB2312"/>
          <w:b/>
          <w:sz w:val="32"/>
          <w:szCs w:val="32"/>
          <w:lang w:eastAsia="zh-CN"/>
        </w:rPr>
        <w:t>行政事业单位医疗</w:t>
      </w:r>
      <w:r>
        <w:rPr>
          <w:rFonts w:hint="eastAsia" w:ascii="仿宋_GB2312" w:eastAsia="仿宋_GB2312"/>
          <w:b/>
          <w:sz w:val="32"/>
          <w:szCs w:val="32"/>
        </w:rPr>
        <w:t>（款）</w:t>
      </w:r>
      <w:r>
        <w:rPr>
          <w:rFonts w:hint="eastAsia" w:ascii="仿宋_GB2312" w:eastAsia="仿宋_GB2312"/>
          <w:b/>
          <w:sz w:val="32"/>
          <w:szCs w:val="32"/>
          <w:lang w:eastAsia="zh-CN"/>
        </w:rPr>
        <w:t>事业单位医疗</w:t>
      </w:r>
      <w:r>
        <w:rPr>
          <w:rFonts w:hint="eastAsia" w:ascii="仿宋_GB2312" w:eastAsia="仿宋_GB2312"/>
          <w:b/>
          <w:sz w:val="32"/>
          <w:szCs w:val="32"/>
        </w:rPr>
        <w:t>（项）：</w:t>
      </w:r>
      <w:r>
        <w:rPr>
          <w:rFonts w:hint="eastAsia" w:ascii="仿宋_GB2312" w:eastAsia="仿宋_GB2312"/>
          <w:sz w:val="32"/>
          <w:szCs w:val="32"/>
        </w:rPr>
        <w:t>反映行政事业单位按人力资源和社会保障部、财政部规定的基本工资和津贴补贴以及规定比例为职工缴纳的</w:t>
      </w:r>
      <w:r>
        <w:rPr>
          <w:rFonts w:hint="eastAsia" w:ascii="仿宋_GB2312" w:eastAsia="仿宋_GB2312"/>
          <w:sz w:val="32"/>
          <w:szCs w:val="32"/>
          <w:lang w:eastAsia="zh-CN"/>
        </w:rPr>
        <w:t>医疗保险</w:t>
      </w:r>
      <w:r>
        <w:rPr>
          <w:rFonts w:hint="eastAsia" w:ascii="仿宋_GB2312" w:eastAsia="仿宋_GB2312"/>
          <w:sz w:val="32"/>
          <w:szCs w:val="32"/>
        </w:rPr>
        <w:t>。</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9.资源勘探</w:t>
      </w:r>
      <w:r>
        <w:rPr>
          <w:rFonts w:hint="eastAsia" w:ascii="仿宋_GB2312" w:eastAsia="仿宋_GB2312"/>
          <w:b/>
          <w:sz w:val="32"/>
          <w:szCs w:val="32"/>
          <w:lang w:eastAsia="zh-CN"/>
        </w:rPr>
        <w:t>工业</w:t>
      </w:r>
      <w:r>
        <w:rPr>
          <w:rFonts w:hint="eastAsia" w:ascii="仿宋_GB2312" w:eastAsia="仿宋_GB2312"/>
          <w:b/>
          <w:sz w:val="32"/>
          <w:szCs w:val="32"/>
        </w:rPr>
        <w:t>信息等支出（类）</w:t>
      </w:r>
      <w:r>
        <w:rPr>
          <w:rFonts w:hint="eastAsia" w:ascii="仿宋_GB2312" w:eastAsia="仿宋_GB2312"/>
          <w:b/>
          <w:sz w:val="32"/>
          <w:szCs w:val="32"/>
          <w:lang w:eastAsia="zh-CN"/>
        </w:rPr>
        <w:t>其他资源勘探工业信息等支出</w:t>
      </w:r>
      <w:r>
        <w:rPr>
          <w:rFonts w:hint="eastAsia" w:ascii="仿宋_GB2312" w:eastAsia="仿宋_GB2312"/>
          <w:b/>
          <w:sz w:val="32"/>
          <w:szCs w:val="32"/>
        </w:rPr>
        <w:t>（款）</w:t>
      </w:r>
      <w:r>
        <w:rPr>
          <w:rFonts w:hint="eastAsia" w:ascii="仿宋_GB2312" w:eastAsia="仿宋_GB2312"/>
          <w:b/>
          <w:sz w:val="32"/>
          <w:szCs w:val="32"/>
          <w:lang w:eastAsia="zh-CN"/>
        </w:rPr>
        <w:t>其他资源勘探工业信息等支出</w:t>
      </w:r>
      <w:r>
        <w:rPr>
          <w:rFonts w:hint="eastAsia" w:ascii="仿宋_GB2312" w:eastAsia="仿宋_GB2312"/>
          <w:b/>
          <w:sz w:val="32"/>
          <w:szCs w:val="32"/>
        </w:rPr>
        <w:t>（项）：</w:t>
      </w:r>
      <w:r>
        <w:rPr>
          <w:rFonts w:hint="eastAsia" w:ascii="仿宋_GB2312" w:eastAsia="仿宋_GB2312"/>
          <w:sz w:val="32"/>
          <w:szCs w:val="32"/>
        </w:rPr>
        <w:t>反映其他用于</w:t>
      </w:r>
      <w:r>
        <w:rPr>
          <w:rFonts w:hint="eastAsia" w:ascii="仿宋_GB2312" w:eastAsia="仿宋_GB2312"/>
          <w:sz w:val="32"/>
          <w:szCs w:val="32"/>
          <w:lang w:eastAsia="zh-CN"/>
        </w:rPr>
        <w:t>资源勘探工业信息等</w:t>
      </w:r>
      <w:r>
        <w:rPr>
          <w:rFonts w:hint="eastAsia" w:ascii="仿宋_GB2312" w:eastAsia="仿宋_GB2312"/>
          <w:sz w:val="32"/>
          <w:szCs w:val="32"/>
        </w:rPr>
        <w:t>方面的支出。</w:t>
      </w:r>
    </w:p>
    <w:p>
      <w:pPr>
        <w:spacing w:line="54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10.住房保障（类）住房改革（款）住房公积金（项）：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60" w:lineRule="exact"/>
        <w:ind w:firstLine="646" w:firstLineChars="200"/>
        <w:jc w:val="left"/>
        <w:rPr>
          <w:rFonts w:ascii="仿宋_GB2312" w:eastAsia="仿宋_GB2312"/>
          <w:sz w:val="32"/>
          <w:szCs w:val="32"/>
        </w:rPr>
      </w:pPr>
    </w:p>
    <w:p>
      <w:pPr>
        <w:spacing w:line="560" w:lineRule="exact"/>
        <w:rPr>
          <w:rFonts w:ascii="宋体" w:hAnsi="宋体"/>
          <w:b/>
          <w:sz w:val="36"/>
          <w:szCs w:val="36"/>
        </w:rPr>
      </w:pPr>
    </w:p>
    <w:p>
      <w:pPr>
        <w:pStyle w:val="2"/>
      </w:pPr>
    </w:p>
    <w:p>
      <w:pPr>
        <w:pStyle w:val="2"/>
        <w:rPr>
          <w:rFonts w:ascii="宋体" w:hAnsi="宋体"/>
          <w:b/>
          <w:sz w:val="36"/>
          <w:szCs w:val="36"/>
        </w:rPr>
      </w:pPr>
    </w:p>
    <w:p>
      <w:pPr>
        <w:spacing w:line="560" w:lineRule="exact"/>
        <w:jc w:val="both"/>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2023</w:t>
      </w:r>
      <w:r>
        <w:rPr>
          <w:rFonts w:hint="eastAsia" w:ascii="宋体" w:hAnsi="宋体"/>
          <w:b/>
          <w:sz w:val="36"/>
          <w:szCs w:val="36"/>
        </w:rPr>
        <w:t>年</w:t>
      </w:r>
      <w:r>
        <w:rPr>
          <w:rFonts w:hint="eastAsia" w:ascii="宋体" w:hAnsi="宋体"/>
          <w:b/>
          <w:sz w:val="36"/>
          <w:szCs w:val="36"/>
          <w:lang w:eastAsia="zh-CN"/>
        </w:rPr>
        <w:t>辽宁省互联网技术支撑中心</w:t>
      </w:r>
      <w:r>
        <w:rPr>
          <w:rFonts w:hint="eastAsia" w:ascii="宋体" w:hAnsi="宋体"/>
          <w:b/>
          <w:sz w:val="36"/>
          <w:szCs w:val="36"/>
        </w:rPr>
        <w:t>部门预算批复表</w:t>
      </w:r>
    </w:p>
    <w:p>
      <w:pPr>
        <w:spacing w:line="560" w:lineRule="exact"/>
        <w:ind w:firstLine="646" w:firstLineChars="200"/>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YmQ5YzQ2Y2JlNGM3MGJlNzM5ZGVkNjk4OWMyNzg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826D2E"/>
    <w:rsid w:val="04C92FF4"/>
    <w:rsid w:val="05344F35"/>
    <w:rsid w:val="05590D97"/>
    <w:rsid w:val="069B1278"/>
    <w:rsid w:val="06B84EC6"/>
    <w:rsid w:val="06F26EF4"/>
    <w:rsid w:val="07000E37"/>
    <w:rsid w:val="076641DD"/>
    <w:rsid w:val="077A6D35"/>
    <w:rsid w:val="078D0595"/>
    <w:rsid w:val="07D425E2"/>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1B322D4"/>
    <w:rsid w:val="126B66EF"/>
    <w:rsid w:val="127267ED"/>
    <w:rsid w:val="129F2D75"/>
    <w:rsid w:val="130D280B"/>
    <w:rsid w:val="132428BF"/>
    <w:rsid w:val="1367096E"/>
    <w:rsid w:val="17676F00"/>
    <w:rsid w:val="17B616E5"/>
    <w:rsid w:val="17F07D94"/>
    <w:rsid w:val="1877372F"/>
    <w:rsid w:val="189B1ADC"/>
    <w:rsid w:val="18C33AC7"/>
    <w:rsid w:val="18DF049C"/>
    <w:rsid w:val="18EC27B3"/>
    <w:rsid w:val="19027D91"/>
    <w:rsid w:val="19455480"/>
    <w:rsid w:val="1A0F73A5"/>
    <w:rsid w:val="1AFF79D0"/>
    <w:rsid w:val="1B2059B8"/>
    <w:rsid w:val="1B4E181C"/>
    <w:rsid w:val="1B533539"/>
    <w:rsid w:val="1B6601DF"/>
    <w:rsid w:val="1B8F6A9A"/>
    <w:rsid w:val="1BAB328C"/>
    <w:rsid w:val="1BCE367C"/>
    <w:rsid w:val="1BDE2B69"/>
    <w:rsid w:val="1BF84BC7"/>
    <w:rsid w:val="1C097499"/>
    <w:rsid w:val="1C4A0633"/>
    <w:rsid w:val="1CD549AB"/>
    <w:rsid w:val="1D462851"/>
    <w:rsid w:val="1D755F7B"/>
    <w:rsid w:val="1DF602FB"/>
    <w:rsid w:val="1E0F132C"/>
    <w:rsid w:val="1F212A66"/>
    <w:rsid w:val="1F315D3A"/>
    <w:rsid w:val="200D6146"/>
    <w:rsid w:val="215A4D90"/>
    <w:rsid w:val="225F55CE"/>
    <w:rsid w:val="23E13ABE"/>
    <w:rsid w:val="24D3660E"/>
    <w:rsid w:val="24DB746F"/>
    <w:rsid w:val="260E190B"/>
    <w:rsid w:val="266A177F"/>
    <w:rsid w:val="270615B9"/>
    <w:rsid w:val="270B1A4A"/>
    <w:rsid w:val="27773A27"/>
    <w:rsid w:val="298C6232"/>
    <w:rsid w:val="29990502"/>
    <w:rsid w:val="29E6061F"/>
    <w:rsid w:val="2A3E5AEE"/>
    <w:rsid w:val="2D2449BD"/>
    <w:rsid w:val="2EB3162C"/>
    <w:rsid w:val="2EE465A5"/>
    <w:rsid w:val="2F142285"/>
    <w:rsid w:val="2FAC4B1B"/>
    <w:rsid w:val="313E7D46"/>
    <w:rsid w:val="316C7C8A"/>
    <w:rsid w:val="31EE3102"/>
    <w:rsid w:val="31FB3A39"/>
    <w:rsid w:val="34190834"/>
    <w:rsid w:val="3505415D"/>
    <w:rsid w:val="365A03F2"/>
    <w:rsid w:val="36F6584D"/>
    <w:rsid w:val="385D4246"/>
    <w:rsid w:val="396661E0"/>
    <w:rsid w:val="39D46840"/>
    <w:rsid w:val="3A064845"/>
    <w:rsid w:val="3A751F6D"/>
    <w:rsid w:val="3AE4639A"/>
    <w:rsid w:val="3B697A90"/>
    <w:rsid w:val="3BA25249"/>
    <w:rsid w:val="3C1C2BDE"/>
    <w:rsid w:val="3CA073AF"/>
    <w:rsid w:val="3CE3375A"/>
    <w:rsid w:val="3DC668D9"/>
    <w:rsid w:val="3EC14D35"/>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8914F15"/>
    <w:rsid w:val="4911550C"/>
    <w:rsid w:val="4A623313"/>
    <w:rsid w:val="4A726690"/>
    <w:rsid w:val="4B1B6C71"/>
    <w:rsid w:val="4C281EF3"/>
    <w:rsid w:val="4CC34566"/>
    <w:rsid w:val="4CDD4B47"/>
    <w:rsid w:val="4CE12E15"/>
    <w:rsid w:val="4D312DA7"/>
    <w:rsid w:val="4F055FF2"/>
    <w:rsid w:val="4F06687C"/>
    <w:rsid w:val="4FC53A84"/>
    <w:rsid w:val="50CD3132"/>
    <w:rsid w:val="51993F9E"/>
    <w:rsid w:val="52184D14"/>
    <w:rsid w:val="525D300E"/>
    <w:rsid w:val="52604568"/>
    <w:rsid w:val="52A86F2C"/>
    <w:rsid w:val="53681604"/>
    <w:rsid w:val="536979A6"/>
    <w:rsid w:val="561435A7"/>
    <w:rsid w:val="567B1001"/>
    <w:rsid w:val="569F3D76"/>
    <w:rsid w:val="576818B0"/>
    <w:rsid w:val="57FA6D49"/>
    <w:rsid w:val="59143D47"/>
    <w:rsid w:val="59A71EE5"/>
    <w:rsid w:val="59CE51A9"/>
    <w:rsid w:val="5A474332"/>
    <w:rsid w:val="5AD05F1E"/>
    <w:rsid w:val="5B152E64"/>
    <w:rsid w:val="5B7340B8"/>
    <w:rsid w:val="5C32682B"/>
    <w:rsid w:val="5D7C6005"/>
    <w:rsid w:val="5DC77D97"/>
    <w:rsid w:val="5DD22168"/>
    <w:rsid w:val="5F3B75AC"/>
    <w:rsid w:val="60147D4F"/>
    <w:rsid w:val="607E717C"/>
    <w:rsid w:val="60B34342"/>
    <w:rsid w:val="616B3E01"/>
    <w:rsid w:val="61DE4A37"/>
    <w:rsid w:val="62066B73"/>
    <w:rsid w:val="628C5B80"/>
    <w:rsid w:val="638C42D9"/>
    <w:rsid w:val="63D97827"/>
    <w:rsid w:val="64B45E83"/>
    <w:rsid w:val="650A1A77"/>
    <w:rsid w:val="651152FC"/>
    <w:rsid w:val="652C6F14"/>
    <w:rsid w:val="65324317"/>
    <w:rsid w:val="65593F66"/>
    <w:rsid w:val="66F40245"/>
    <w:rsid w:val="69221657"/>
    <w:rsid w:val="6A6715B2"/>
    <w:rsid w:val="6A726147"/>
    <w:rsid w:val="6B300A25"/>
    <w:rsid w:val="6C163263"/>
    <w:rsid w:val="6C264620"/>
    <w:rsid w:val="6D7E1522"/>
    <w:rsid w:val="6D95125A"/>
    <w:rsid w:val="6ED06DC1"/>
    <w:rsid w:val="6F474F0B"/>
    <w:rsid w:val="6F565074"/>
    <w:rsid w:val="701934AE"/>
    <w:rsid w:val="714B2ECB"/>
    <w:rsid w:val="71FB67AE"/>
    <w:rsid w:val="72385629"/>
    <w:rsid w:val="731F0A75"/>
    <w:rsid w:val="73351169"/>
    <w:rsid w:val="741831B5"/>
    <w:rsid w:val="75C80649"/>
    <w:rsid w:val="762F7860"/>
    <w:rsid w:val="76D6577B"/>
    <w:rsid w:val="77CB17F7"/>
    <w:rsid w:val="79BF61C2"/>
    <w:rsid w:val="79FC7325"/>
    <w:rsid w:val="7B767570"/>
    <w:rsid w:val="7DD87B8D"/>
    <w:rsid w:val="7EC10E0D"/>
    <w:rsid w:val="7EF53BC8"/>
    <w:rsid w:val="7F105FF7"/>
    <w:rsid w:val="7FB31639"/>
    <w:rsid w:val="7FD76B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3782</Words>
  <Characters>3969</Characters>
  <Lines>22</Lines>
  <Paragraphs>6</Paragraphs>
  <TotalTime>41</TotalTime>
  <ScaleCrop>false</ScaleCrop>
  <LinksUpToDate>false</LinksUpToDate>
  <CharactersWithSpaces>4038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2017-02-20T09:02:00Z</dcterms:created>
  <dc:creator>预算处(税政处、编审中心)-王威</dc:creator>
  <cp:lastModifiedBy>曦曦</cp:lastModifiedBy>
  <cp:lastPrinted>2023-02-14T09:05:19Z</cp:lastPrinted>
  <dcterms:modified xsi:type="dcterms:W3CDTF">2023-02-14T09:05:46Z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10B7949802054A5AAE938DD38EA8B355</vt:lpwstr>
  </property>
</Properties>
</file>